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0A" w:rsidRPr="005428C4" w:rsidRDefault="00B6320A" w:rsidP="00B6320A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5428C4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D7C2972" wp14:editId="7F4EEBA1">
            <wp:simplePos x="0" y="0"/>
            <wp:positionH relativeFrom="column">
              <wp:posOffset>2732405</wp:posOffset>
            </wp:positionH>
            <wp:positionV relativeFrom="paragraph">
              <wp:posOffset>-52705</wp:posOffset>
            </wp:positionV>
            <wp:extent cx="349885" cy="579755"/>
            <wp:effectExtent l="0" t="0" r="5715" b="4445"/>
            <wp:wrapSquare wrapText="bothSides"/>
            <wp:docPr id="3" name="Рисунок 407" descr="лог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20A" w:rsidRPr="005428C4" w:rsidRDefault="00B6320A" w:rsidP="00B6320A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</w:p>
    <w:p w:rsidR="00B6320A" w:rsidRPr="005428C4" w:rsidRDefault="00B6320A" w:rsidP="00B6320A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</w:p>
    <w:p w:rsidR="00B6320A" w:rsidRPr="005428C4" w:rsidRDefault="00B6320A" w:rsidP="00B6320A">
      <w:pPr>
        <w:shd w:val="clear" w:color="auto" w:fill="FFFFFF"/>
        <w:jc w:val="center"/>
        <w:rPr>
          <w:rFonts w:ascii="Times New Roman" w:hAnsi="Times New Roman"/>
          <w:caps/>
        </w:rPr>
      </w:pPr>
      <w:r w:rsidRPr="005428C4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B6320A" w:rsidRPr="005428C4" w:rsidRDefault="00B6320A" w:rsidP="00B6320A">
      <w:pPr>
        <w:jc w:val="center"/>
        <w:rPr>
          <w:rFonts w:ascii="Times New Roman" w:hAnsi="Times New Roman"/>
          <w:sz w:val="28"/>
          <w:szCs w:val="28"/>
        </w:rPr>
      </w:pPr>
      <w:r w:rsidRPr="005428C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B6320A" w:rsidRPr="005428C4" w:rsidRDefault="00B6320A" w:rsidP="00B6320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428C4">
        <w:rPr>
          <w:rFonts w:ascii="Times New Roman" w:hAnsi="Times New Roman"/>
          <w:sz w:val="28"/>
          <w:szCs w:val="28"/>
        </w:rPr>
        <w:t>высшего образования</w:t>
      </w:r>
    </w:p>
    <w:p w:rsidR="00B6320A" w:rsidRPr="005428C4" w:rsidRDefault="00B6320A" w:rsidP="00B6320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8C4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B6320A" w:rsidRPr="005428C4" w:rsidRDefault="00B6320A" w:rsidP="00B6320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428C4">
        <w:rPr>
          <w:rFonts w:ascii="Times New Roman" w:hAnsi="Times New Roman"/>
          <w:bCs/>
          <w:sz w:val="28"/>
          <w:szCs w:val="28"/>
        </w:rPr>
        <w:t>(ДВФУ)</w:t>
      </w:r>
    </w:p>
    <w:p w:rsidR="00B6320A" w:rsidRPr="005428C4" w:rsidRDefault="00B6320A" w:rsidP="00B6320A">
      <w:pPr>
        <w:jc w:val="center"/>
        <w:rPr>
          <w:rFonts w:ascii="Times New Roman" w:hAnsi="Times New Roman"/>
          <w:spacing w:val="-10"/>
        </w:rPr>
      </w:pPr>
    </w:p>
    <w:p w:rsidR="00B6320A" w:rsidRPr="005428C4" w:rsidRDefault="00B6320A" w:rsidP="00B6320A">
      <w:pPr>
        <w:jc w:val="center"/>
        <w:rPr>
          <w:rFonts w:ascii="Times New Roman" w:hAnsi="Times New Roman"/>
          <w:b/>
          <w:spacing w:val="-10"/>
        </w:rPr>
      </w:pPr>
      <w:r w:rsidRPr="005428C4">
        <w:rPr>
          <w:rFonts w:ascii="Times New Roman" w:hAnsi="Times New Roman"/>
          <w:b/>
          <w:spacing w:val="-10"/>
        </w:rPr>
        <w:t xml:space="preserve">ШКОЛА ЦИФРОВОЙ ЭКОНОМИКИ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320A" w:rsidRPr="00224073" w:rsidTr="00EC7BDB">
        <w:tc>
          <w:tcPr>
            <w:tcW w:w="4785" w:type="dxa"/>
            <w:shd w:val="clear" w:color="auto" w:fill="auto"/>
          </w:tcPr>
          <w:p w:rsidR="00B6320A" w:rsidRDefault="00B6320A" w:rsidP="00EC7BDB">
            <w:pPr>
              <w:rPr>
                <w:rFonts w:ascii="Times New Roman" w:eastAsia="Times New Roman" w:hAnsi="Times New Roman"/>
              </w:rPr>
            </w:pPr>
          </w:p>
          <w:p w:rsidR="00B6320A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320A" w:rsidRPr="00097BE6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7F0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B6320A" w:rsidRPr="00A40425" w:rsidRDefault="00B6320A" w:rsidP="00EC7B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425">
              <w:rPr>
                <w:rFonts w:ascii="Times New Roman" w:eastAsia="Times New Roman" w:hAnsi="Times New Roman"/>
                <w:sz w:val="28"/>
                <w:szCs w:val="28"/>
              </w:rPr>
              <w:t>Руководитель ОП</w:t>
            </w:r>
          </w:p>
          <w:p w:rsidR="00B6320A" w:rsidRDefault="00B6320A" w:rsidP="00EC7BDB">
            <w:r w:rsidRPr="00AD50E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B26AF0" wp14:editId="04BD3EF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98425</wp:posOffset>
                  </wp:positionV>
                  <wp:extent cx="707055" cy="487017"/>
                  <wp:effectExtent l="0" t="0" r="0" b="8890"/>
                  <wp:wrapTight wrapText="bothSides">
                    <wp:wrapPolygon edited="0">
                      <wp:start x="0" y="0"/>
                      <wp:lineTo x="0" y="21149"/>
                      <wp:lineTo x="20960" y="21149"/>
                      <wp:lineTo x="20960" y="0"/>
                      <wp:lineTo x="0" y="0"/>
                    </wp:wrapPolygon>
                  </wp:wrapTight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55" cy="48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320A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"/var/folders/s0/7tdrttb51rx9vgkwqvwdhs_m0000gn/T/com.microsoft.Word/WebArchiveCopyPasteTempFiles/page2image3803552" \* MERGEFORMATINET </w:instrText>
            </w:r>
            <w:r>
              <w:fldChar w:fldCharType="end"/>
            </w:r>
          </w:p>
          <w:p w:rsidR="00B6320A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А.Н. Жирабок</w:t>
            </w:r>
          </w:p>
          <w:p w:rsidR="00B6320A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320A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54D8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654D8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июня 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  <w:p w:rsidR="00B6320A" w:rsidRPr="00224073" w:rsidRDefault="00B6320A" w:rsidP="00EC7B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6320A" w:rsidRDefault="00B6320A" w:rsidP="00EC7BDB">
            <w:pPr>
              <w:snapToGrid w:val="0"/>
              <w:rPr>
                <w:rFonts w:ascii="Times New Roman" w:eastAsia="Times New Roman" w:hAnsi="Times New Roman"/>
              </w:rPr>
            </w:pPr>
          </w:p>
          <w:p w:rsidR="00B6320A" w:rsidRPr="00224073" w:rsidRDefault="00B6320A" w:rsidP="00EC7BDB">
            <w:pPr>
              <w:snapToGrid w:val="0"/>
              <w:rPr>
                <w:rFonts w:ascii="Times New Roman" w:eastAsia="Times New Roman" w:hAnsi="Times New Roman"/>
              </w:rPr>
            </w:pPr>
            <w:r w:rsidRPr="00A349D4">
              <w:rPr>
                <w:noProof/>
                <w:sz w:val="28"/>
                <w:szCs w:val="28"/>
              </w:rPr>
              <w:drawing>
                <wp:inline distT="0" distB="0" distL="0" distR="0" wp14:anchorId="6B24A7DF" wp14:editId="78490DAB">
                  <wp:extent cx="2743200" cy="1867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46" cy="190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287" w:rsidRPr="00FD3533" w:rsidRDefault="001F7287" w:rsidP="001F7287">
      <w:pPr>
        <w:keepNext/>
        <w:keepLines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</w:rPr>
      </w:pPr>
      <w:r w:rsidRPr="00FD3533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РАБОЧАЯ ПРОГРАММА УЧЕБНОЙ ДИСЦИПЛИНЫ</w:t>
      </w:r>
      <w:r w:rsidRPr="00FD3533">
        <w:rPr>
          <w:rFonts w:ascii="Times New Roman" w:eastAsia="Times New Roman" w:hAnsi="Times New Roman"/>
          <w:bCs/>
          <w:spacing w:val="-10"/>
          <w:sz w:val="24"/>
          <w:szCs w:val="24"/>
        </w:rPr>
        <w:t xml:space="preserve"> (</w:t>
      </w:r>
      <w:r w:rsidRPr="00FD3533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МОДУЛЯ)</w:t>
      </w:r>
    </w:p>
    <w:p w:rsidR="001F7287" w:rsidRDefault="001F7287" w:rsidP="001F7287">
      <w:pPr>
        <w:ind w:right="-143"/>
        <w:jc w:val="center"/>
        <w:rPr>
          <w:rFonts w:ascii="Times New Roman" w:eastAsia="Times New Roman" w:hAnsi="Times New Roman"/>
          <w:b/>
          <w:bCs/>
          <w:spacing w:val="-10"/>
          <w:sz w:val="24"/>
          <w:szCs w:val="24"/>
        </w:rPr>
      </w:pPr>
      <w:r w:rsidRPr="00FD3533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Бизнес-модели операторов космических систем связи, ДЗЗ</w:t>
      </w:r>
      <w:r w:rsidRPr="00FD3533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»</w:t>
      </w:r>
    </w:p>
    <w:p w:rsidR="001F7287" w:rsidRPr="007E79F3" w:rsidRDefault="001F7287" w:rsidP="001F7287">
      <w:pPr>
        <w:ind w:right="-143"/>
        <w:jc w:val="center"/>
        <w:rPr>
          <w:rFonts w:ascii="Times New Roman" w:eastAsia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(Факультатив)</w:t>
      </w:r>
    </w:p>
    <w:p w:rsidR="00F12B7E" w:rsidRPr="00F12B7E" w:rsidRDefault="00F12B7E" w:rsidP="00F12B7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2B7E">
        <w:rPr>
          <w:rFonts w:ascii="Times New Roman" w:eastAsia="Times New Roman" w:hAnsi="Times New Roman"/>
          <w:b/>
          <w:sz w:val="24"/>
          <w:szCs w:val="24"/>
        </w:rPr>
        <w:t>11.04.03 Конструирование и технология электронных средств</w:t>
      </w:r>
    </w:p>
    <w:p w:rsidR="001F7287" w:rsidRPr="00FD3533" w:rsidRDefault="00F12B7E" w:rsidP="00F12B7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2B7E">
        <w:rPr>
          <w:rFonts w:ascii="Times New Roman" w:eastAsia="Times New Roman" w:hAnsi="Times New Roman"/>
          <w:b/>
          <w:sz w:val="24"/>
          <w:szCs w:val="24"/>
        </w:rPr>
        <w:t>Магистерская программа «Технологии дистанционного зондирования Земли»</w:t>
      </w:r>
    </w:p>
    <w:p w:rsidR="001F7287" w:rsidRPr="00FD3533" w:rsidRDefault="001F7287" w:rsidP="001F7287">
      <w:pPr>
        <w:ind w:left="1416" w:hanging="1416"/>
        <w:jc w:val="center"/>
        <w:outlineLvl w:val="5"/>
        <w:rPr>
          <w:rFonts w:ascii="Times New Roman" w:eastAsia="Times New Roman" w:hAnsi="Times New Roman"/>
          <w:b/>
          <w:bCs/>
          <w:spacing w:val="-10"/>
        </w:rPr>
      </w:pPr>
      <w:r w:rsidRPr="00FD3533">
        <w:rPr>
          <w:rFonts w:ascii="Times New Roman" w:eastAsia="Times New Roman" w:hAnsi="Times New Roman"/>
          <w:b/>
          <w:bCs/>
          <w:spacing w:val="-10"/>
        </w:rPr>
        <w:t>Форма подготовки очная</w:t>
      </w:r>
    </w:p>
    <w:p w:rsidR="001F7287" w:rsidRPr="00FD3533" w:rsidRDefault="001F7287" w:rsidP="001F7287">
      <w:pPr>
        <w:suppressAutoHyphens/>
        <w:rPr>
          <w:rFonts w:ascii="Times New Roman" w:hAnsi="Times New Roman"/>
          <w:b/>
          <w:spacing w:val="-10"/>
        </w:rPr>
      </w:pPr>
    </w:p>
    <w:p w:rsidR="001F7287" w:rsidRPr="00FD3533" w:rsidRDefault="001F7287" w:rsidP="001F7287">
      <w:pPr>
        <w:suppressAutoHyphens/>
        <w:rPr>
          <w:rFonts w:ascii="Times New Roman" w:hAnsi="Times New Roman"/>
          <w:b/>
          <w:spacing w:val="-10"/>
        </w:rPr>
      </w:pPr>
      <w:r w:rsidRPr="00FD3533">
        <w:rPr>
          <w:rFonts w:ascii="Times New Roman" w:hAnsi="Times New Roman"/>
          <w:b/>
          <w:spacing w:val="-10"/>
        </w:rPr>
        <w:t>Школа цифровой экономики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 xml:space="preserve">курс </w:t>
      </w:r>
      <w:proofErr w:type="gramStart"/>
      <w:r>
        <w:rPr>
          <w:rFonts w:ascii="Times New Roman" w:hAnsi="Times New Roman"/>
          <w:spacing w:val="-10"/>
        </w:rPr>
        <w:t>2</w:t>
      </w:r>
      <w:r w:rsidRPr="00FD3533">
        <w:rPr>
          <w:rFonts w:ascii="Times New Roman" w:hAnsi="Times New Roman"/>
          <w:spacing w:val="-10"/>
        </w:rPr>
        <w:t xml:space="preserve">  семестр</w:t>
      </w:r>
      <w:proofErr w:type="gramEnd"/>
      <w:r>
        <w:rPr>
          <w:rFonts w:ascii="Times New Roman" w:hAnsi="Times New Roman"/>
          <w:spacing w:val="-10"/>
        </w:rPr>
        <w:t xml:space="preserve"> 4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 xml:space="preserve">лекции </w:t>
      </w:r>
      <w:r>
        <w:rPr>
          <w:rFonts w:ascii="Times New Roman" w:hAnsi="Times New Roman"/>
          <w:spacing w:val="-10"/>
        </w:rPr>
        <w:t>18</w:t>
      </w:r>
      <w:r w:rsidRPr="00FD3533">
        <w:rPr>
          <w:rFonts w:ascii="Times New Roman" w:hAnsi="Times New Roman"/>
          <w:spacing w:val="-10"/>
        </w:rPr>
        <w:t xml:space="preserve"> час. 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 xml:space="preserve">практические занятия </w:t>
      </w:r>
      <w:r>
        <w:rPr>
          <w:rFonts w:ascii="Times New Roman" w:hAnsi="Times New Roman"/>
          <w:spacing w:val="-10"/>
        </w:rPr>
        <w:t>0</w:t>
      </w:r>
      <w:r w:rsidRPr="00FD3533">
        <w:rPr>
          <w:rFonts w:ascii="Times New Roman" w:hAnsi="Times New Roman"/>
          <w:spacing w:val="-10"/>
        </w:rPr>
        <w:t xml:space="preserve"> час.  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 xml:space="preserve">лабораторные работы 0 час.  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 xml:space="preserve">всего часов аудиторной нагрузки </w:t>
      </w:r>
      <w:r>
        <w:rPr>
          <w:rFonts w:ascii="Times New Roman" w:hAnsi="Times New Roman"/>
          <w:spacing w:val="-10"/>
        </w:rPr>
        <w:t>18</w:t>
      </w:r>
      <w:r w:rsidRPr="00FD3533">
        <w:rPr>
          <w:rFonts w:ascii="Times New Roman" w:hAnsi="Times New Roman"/>
          <w:spacing w:val="-10"/>
        </w:rPr>
        <w:t xml:space="preserve"> час.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 xml:space="preserve">самостоятельная работа </w:t>
      </w:r>
      <w:proofErr w:type="gramStart"/>
      <w:r>
        <w:rPr>
          <w:rFonts w:ascii="Times New Roman" w:hAnsi="Times New Roman"/>
          <w:spacing w:val="-10"/>
        </w:rPr>
        <w:t xml:space="preserve">18 </w:t>
      </w:r>
      <w:r w:rsidRPr="00FD3533">
        <w:rPr>
          <w:rFonts w:ascii="Times New Roman" w:hAnsi="Times New Roman"/>
          <w:spacing w:val="-10"/>
        </w:rPr>
        <w:t xml:space="preserve"> час</w:t>
      </w:r>
      <w:proofErr w:type="gramEnd"/>
      <w:r w:rsidRPr="00FD3533">
        <w:rPr>
          <w:rFonts w:ascii="Times New Roman" w:hAnsi="Times New Roman"/>
          <w:spacing w:val="-10"/>
        </w:rPr>
        <w:t>.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>контрольные работы программой не предусмотрены</w:t>
      </w:r>
    </w:p>
    <w:p w:rsidR="001F7287" w:rsidRPr="00FD3533" w:rsidRDefault="001F7287" w:rsidP="001F7287">
      <w:pPr>
        <w:suppressAutoHyphens/>
        <w:rPr>
          <w:rFonts w:ascii="Times New Roman" w:hAnsi="Times New Roman"/>
        </w:rPr>
      </w:pPr>
      <w:r w:rsidRPr="00FD3533">
        <w:rPr>
          <w:rFonts w:ascii="Times New Roman" w:hAnsi="Times New Roman"/>
          <w:spacing w:val="-10"/>
        </w:rPr>
        <w:t>курсовая работа/проект – не предусмотрено</w:t>
      </w:r>
    </w:p>
    <w:p w:rsidR="001F7287" w:rsidRPr="00FD3533" w:rsidRDefault="001F7287" w:rsidP="001F7287">
      <w:pPr>
        <w:suppressAutoHyphens/>
        <w:rPr>
          <w:rFonts w:ascii="Times New Roman" w:hAnsi="Times New Roman"/>
        </w:rPr>
      </w:pPr>
      <w:r w:rsidRPr="00FD3533">
        <w:rPr>
          <w:rFonts w:ascii="Times New Roman" w:hAnsi="Times New Roman"/>
        </w:rPr>
        <w:t xml:space="preserve">зачет </w:t>
      </w:r>
      <w:r w:rsidRPr="00FD3533">
        <w:rPr>
          <w:rFonts w:ascii="Times New Roman" w:hAnsi="Times New Roman"/>
          <w:spacing w:val="-10"/>
        </w:rPr>
        <w:t xml:space="preserve">– </w:t>
      </w:r>
      <w:r>
        <w:rPr>
          <w:rFonts w:ascii="Times New Roman" w:hAnsi="Times New Roman"/>
          <w:spacing w:val="-10"/>
        </w:rPr>
        <w:t>4</w:t>
      </w:r>
      <w:r w:rsidRPr="00FD3533">
        <w:rPr>
          <w:rFonts w:ascii="Times New Roman" w:hAnsi="Times New Roman"/>
          <w:spacing w:val="-10"/>
        </w:rPr>
        <w:t xml:space="preserve"> семестр  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  <w:r w:rsidRPr="00FD3533">
        <w:rPr>
          <w:rFonts w:ascii="Times New Roman" w:hAnsi="Times New Roman"/>
          <w:spacing w:val="-10"/>
        </w:rPr>
        <w:t>экзамен – не предусмотрено</w:t>
      </w: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</w:p>
    <w:p w:rsidR="001F7287" w:rsidRPr="00FD3533" w:rsidRDefault="001F7287" w:rsidP="001F7287">
      <w:pPr>
        <w:suppressAutoHyphens/>
        <w:rPr>
          <w:rFonts w:ascii="Times New Roman" w:hAnsi="Times New Roman"/>
        </w:rPr>
      </w:pPr>
      <w:r w:rsidRPr="00FD3533">
        <w:rPr>
          <w:rFonts w:ascii="Times New Roman" w:hAnsi="Times New Roman"/>
        </w:rPr>
        <w:t>Рабочая программа составлена в соответствии с требованиями образовательного стандарта</w:t>
      </w:r>
      <w:r w:rsidRPr="00FD3533">
        <w:t xml:space="preserve"> </w:t>
      </w:r>
      <w:r w:rsidRPr="00FD3533">
        <w:rPr>
          <w:rFonts w:ascii="Times New Roman" w:hAnsi="Times New Roman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="00F12B7E" w:rsidRPr="00F12B7E">
        <w:rPr>
          <w:rFonts w:ascii="Times New Roman" w:hAnsi="Times New Roman"/>
        </w:rPr>
        <w:t>11.04.03 Конструирование и технология электронных средств</w:t>
      </w:r>
      <w:r w:rsidRPr="00FD3533">
        <w:rPr>
          <w:rFonts w:ascii="Times New Roman" w:hAnsi="Times New Roman"/>
        </w:rPr>
        <w:t>, утвержденного приказом Министерства образования и науки Российской Федерации от 21.11.2014 № 1491</w:t>
      </w:r>
    </w:p>
    <w:p w:rsidR="001F7287" w:rsidRPr="00FD3533" w:rsidRDefault="001F7287" w:rsidP="001F7287">
      <w:pPr>
        <w:suppressAutoHyphens/>
        <w:rPr>
          <w:rFonts w:ascii="Times New Roman" w:hAnsi="Times New Roman"/>
        </w:rPr>
      </w:pPr>
    </w:p>
    <w:p w:rsidR="001F7287" w:rsidRPr="00FD3533" w:rsidRDefault="001F7287" w:rsidP="001F7287">
      <w:pPr>
        <w:suppressAutoHyphens/>
        <w:rPr>
          <w:rFonts w:ascii="Times New Roman" w:hAnsi="Times New Roman"/>
          <w:spacing w:val="-10"/>
        </w:rPr>
      </w:pPr>
    </w:p>
    <w:p w:rsidR="001F7287" w:rsidRPr="00FD3533" w:rsidRDefault="001F7287" w:rsidP="001F7287">
      <w:pPr>
        <w:suppressAutoHyphens/>
        <w:rPr>
          <w:rFonts w:ascii="Times New Roman" w:hAnsi="Times New Roman"/>
        </w:rPr>
      </w:pPr>
      <w:r w:rsidRPr="00FD3533">
        <w:rPr>
          <w:rFonts w:ascii="Times New Roman" w:hAnsi="Times New Roman"/>
        </w:rPr>
        <w:t xml:space="preserve">Составитель: </w:t>
      </w:r>
      <w:r>
        <w:rPr>
          <w:rFonts w:ascii="Times New Roman" w:hAnsi="Times New Roman"/>
        </w:rPr>
        <w:t>С.О. Карпенко</w:t>
      </w:r>
    </w:p>
    <w:p w:rsidR="001F7287" w:rsidRPr="00BD5CD9" w:rsidRDefault="001F7287" w:rsidP="001F7287">
      <w:pPr>
        <w:suppressAutoHyphens/>
        <w:rPr>
          <w:rFonts w:ascii="Times New Roman" w:hAnsi="Times New Roman"/>
        </w:rPr>
      </w:pPr>
    </w:p>
    <w:p w:rsidR="0085439C" w:rsidRDefault="008543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39C" w:rsidRDefault="0085439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F7287" w:rsidRDefault="001F7287">
      <w:r>
        <w:br w:type="page"/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3D2">
        <w:rPr>
          <w:rFonts w:ascii="Times New Roman" w:hAnsi="Times New Roman" w:cs="Times New Roman"/>
          <w:b/>
          <w:bCs/>
        </w:rPr>
        <w:lastRenderedPageBreak/>
        <w:t>Оборотная сторона титульного листа РПД</w:t>
      </w: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hAnsi="Times New Roman" w:cs="Times New Roman"/>
          <w:bCs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Cs/>
        </w:rPr>
      </w:pPr>
      <w:smartTag w:uri="urn:schemas-microsoft-com:office:smarttags" w:element="place">
        <w:r w:rsidRPr="004C33D2">
          <w:rPr>
            <w:rFonts w:ascii="Times New Roman" w:hAnsi="Times New Roman" w:cs="Times New Roman"/>
            <w:b/>
            <w:lang w:val="en-US"/>
          </w:rPr>
          <w:t>I</w:t>
        </w:r>
        <w:r w:rsidRPr="004C33D2">
          <w:rPr>
            <w:rFonts w:ascii="Times New Roman" w:hAnsi="Times New Roman" w:cs="Times New Roman"/>
            <w:b/>
          </w:rPr>
          <w:t>.</w:t>
        </w:r>
      </w:smartTag>
      <w:r w:rsidRPr="004C33D2">
        <w:rPr>
          <w:rFonts w:ascii="Times New Roman" w:hAnsi="Times New Roman" w:cs="Times New Roman"/>
          <w:b/>
        </w:rPr>
        <w:t xml:space="preserve"> Рабочая программа пересмотрена на заседании Дирекции Школы цифровой экономики: 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  <w:r w:rsidRPr="004C33D2">
        <w:rPr>
          <w:rFonts w:ascii="Times New Roman" w:hAnsi="Times New Roman" w:cs="Times New Roman"/>
          <w:bCs/>
        </w:rPr>
        <w:t>Протокол от «_____» _________________ 20___ г.  № ______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  <w:r w:rsidRPr="004C33D2">
        <w:rPr>
          <w:rFonts w:ascii="Times New Roman" w:hAnsi="Times New Roman" w:cs="Times New Roman"/>
          <w:bCs/>
        </w:rPr>
        <w:t>Заместитель директора ШЦЭ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</w:rPr>
      </w:pPr>
      <w:r w:rsidRPr="004C33D2">
        <w:rPr>
          <w:rFonts w:ascii="Times New Roman" w:hAnsi="Times New Roman" w:cs="Times New Roman"/>
          <w:bCs/>
        </w:rPr>
        <w:t xml:space="preserve">по учебной и воспитательной работе </w:t>
      </w:r>
      <w:r w:rsidRPr="004C33D2">
        <w:rPr>
          <w:rFonts w:ascii="Times New Roman" w:hAnsi="Times New Roman" w:cs="Times New Roman"/>
        </w:rPr>
        <w:t>_______________________   __________________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</w:rPr>
      </w:pPr>
      <w:r w:rsidRPr="004C33D2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(И.О. Фамилия)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/>
        </w:rPr>
      </w:pPr>
    </w:p>
    <w:p w:rsidR="001F7287" w:rsidRPr="004C33D2" w:rsidRDefault="001F7287" w:rsidP="001F728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ascii="Times New Roman" w:hAnsi="Times New Roman" w:cs="Times New Roman"/>
          <w:bCs/>
        </w:rPr>
      </w:pPr>
      <w:r w:rsidRPr="004C33D2">
        <w:rPr>
          <w:rFonts w:ascii="Times New Roman" w:hAnsi="Times New Roman" w:cs="Times New Roman"/>
          <w:b/>
          <w:lang w:val="en-US"/>
        </w:rPr>
        <w:t>II</w:t>
      </w:r>
      <w:r w:rsidRPr="004C33D2">
        <w:rPr>
          <w:rFonts w:ascii="Times New Roman" w:hAnsi="Times New Roman" w:cs="Times New Roman"/>
          <w:b/>
        </w:rPr>
        <w:t xml:space="preserve">. Рабочая программа пересмотрена на заседании Дирекции Школы цифровой экономики: 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  <w:r w:rsidRPr="004C33D2">
        <w:rPr>
          <w:rFonts w:ascii="Times New Roman" w:hAnsi="Times New Roman" w:cs="Times New Roman"/>
          <w:bCs/>
        </w:rPr>
        <w:t>Протокол от «_____» _________________ 20___ г.  № ______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  <w:r w:rsidRPr="004C33D2">
        <w:rPr>
          <w:rFonts w:ascii="Times New Roman" w:hAnsi="Times New Roman" w:cs="Times New Roman"/>
          <w:bCs/>
        </w:rPr>
        <w:t>Заместитель директора ШЦЭ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</w:rPr>
      </w:pPr>
      <w:r w:rsidRPr="004C33D2">
        <w:rPr>
          <w:rFonts w:ascii="Times New Roman" w:hAnsi="Times New Roman" w:cs="Times New Roman"/>
          <w:bCs/>
        </w:rPr>
        <w:t xml:space="preserve">по учебной и воспитательной работе </w:t>
      </w:r>
      <w:r w:rsidRPr="004C33D2">
        <w:rPr>
          <w:rFonts w:ascii="Times New Roman" w:hAnsi="Times New Roman" w:cs="Times New Roman"/>
        </w:rPr>
        <w:t>_______________________   __________________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</w:rPr>
      </w:pPr>
      <w:r w:rsidRPr="004C33D2"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(И.О. Фамилия)</w:t>
      </w:r>
    </w:p>
    <w:p w:rsidR="001F7287" w:rsidRPr="004C33D2" w:rsidRDefault="001F7287" w:rsidP="001F7287">
      <w:pPr>
        <w:suppressAutoHyphens/>
        <w:rPr>
          <w:rFonts w:ascii="Times New Roman" w:hAnsi="Times New Roman" w:cs="Times New Roman"/>
          <w:bCs/>
        </w:rPr>
      </w:pPr>
    </w:p>
    <w:p w:rsidR="0085439C" w:rsidRDefault="00E4717E">
      <w:pPr>
        <w:tabs>
          <w:tab w:val="left" w:pos="708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439C" w:rsidRDefault="0085439C">
      <w:pPr>
        <w:pStyle w:val="1"/>
        <w:tabs>
          <w:tab w:val="left" w:pos="708"/>
        </w:tabs>
        <w:jc w:val="left"/>
      </w:pPr>
      <w:bookmarkStart w:id="0" w:name="_kdhh5mr93vk4" w:colFirst="0" w:colLast="0"/>
      <w:bookmarkEnd w:id="0"/>
    </w:p>
    <w:sdt>
      <w:sdtPr>
        <w:id w:val="-626006080"/>
        <w:docPartObj>
          <w:docPartGallery w:val="Table of Contents"/>
          <w:docPartUnique/>
        </w:docPartObj>
      </w:sdtPr>
      <w:sdtEndPr/>
      <w:sdtContent>
        <w:p w:rsidR="0085439C" w:rsidRDefault="00E4717E">
          <w:pPr>
            <w:tabs>
              <w:tab w:val="right" w:pos="9925"/>
            </w:tabs>
            <w:spacing w:before="80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93ta72gy5sl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АННОТАЦИЯ</w:t>
            </w:r>
          </w:hyperlink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_93ta72gy5sl4 \h </w:instrText>
          </w:r>
          <w:r>
            <w:fldChar w:fldCharType="separate"/>
          </w:r>
          <w:r w:rsidR="001F7287">
            <w:rPr>
              <w:noProof/>
            </w:rPr>
            <w:t>4</w:t>
          </w:r>
          <w:r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dggt5xqi2y79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ТЕОРЕТИЧЕСКОЙ ЧАСТИ КУРСА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_dggt5xqi2y79 \h </w:instrText>
          </w:r>
          <w:r w:rsidR="00E4717E">
            <w:fldChar w:fldCharType="separate"/>
          </w:r>
          <w:r w:rsidR="001F7287">
            <w:rPr>
              <w:noProof/>
            </w:rPr>
            <w:t>6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w1bttzy90u34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ПРАКТИЧЕСКОЙ ЧАСТИ КУРСА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_w1bttzy90u34 \h </w:instrText>
          </w:r>
          <w:r w:rsidR="00E4717E">
            <w:fldChar w:fldCharType="separate"/>
          </w:r>
          <w:r w:rsidR="001F7287">
            <w:rPr>
              <w:noProof/>
            </w:rPr>
            <w:t>6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28ix705sffzc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 САМОСТОЯТЕЛЬНОЙ РАБОТЫ ОБУЧАЮЩИХСЯ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_28ix705sffzc \h </w:instrText>
          </w:r>
          <w:r w:rsidR="00E4717E">
            <w:fldChar w:fldCharType="separate"/>
          </w:r>
          <w:r w:rsidR="001F7287">
            <w:rPr>
              <w:noProof/>
            </w:rPr>
            <w:t>7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i88bb93g5xsd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ДОСТИЖЕНИЯ ЦЕЛЕЙ КУРСА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_i88bb93g5xsd \h </w:instrText>
          </w:r>
          <w:r w:rsidR="00E4717E">
            <w:fldChar w:fldCharType="separate"/>
          </w:r>
          <w:r w:rsidR="001F7287">
            <w:rPr>
              <w:noProof/>
            </w:rPr>
            <w:t>7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834b2umv7gde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УЧЕБНОЙ ЛИТЕРАТУРЫ И ИНФОРМАЦИОННО-МЕТОДИЧЕСКОЕ ОБЕСПЕЧЕНИЕ ДИСЦИПЛИНЫ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_834b2umv7gde \h </w:instrText>
          </w:r>
          <w:r w:rsidR="00E4717E">
            <w:fldChar w:fldCharType="separate"/>
          </w:r>
          <w:r w:rsidR="001F7287">
            <w:rPr>
              <w:noProof/>
            </w:rPr>
            <w:t>9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gtb0twcs2xly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ОСВОЕНИЮ ДИСЦИПЛИНЫ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_gtb0twcs2xly \h </w:instrText>
          </w:r>
          <w:r w:rsidR="00E4717E">
            <w:fldChar w:fldCharType="separate"/>
          </w:r>
          <w:r w:rsidR="001F7287">
            <w:rPr>
              <w:noProof/>
            </w:rPr>
            <w:t>10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mp6v1dmx10w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 ДИСЦИПЛИНЫ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_3mp6v1dmx10w \h </w:instrText>
          </w:r>
          <w:r w:rsidR="00E4717E">
            <w:fldChar w:fldCharType="separate"/>
          </w:r>
          <w:r w:rsidR="001F7287">
            <w:rPr>
              <w:noProof/>
            </w:rPr>
            <w:t>11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71uvhfhix1fn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 САМОСТОЯТЕЛЬНОЙ РАБОТЫ ОБУЧАЮЩИХСЯ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_71uvhfhix1fn \h </w:instrText>
          </w:r>
          <w:r w:rsidR="00E4717E">
            <w:fldChar w:fldCharType="separate"/>
          </w:r>
          <w:r w:rsidR="001F7287">
            <w:rPr>
              <w:noProof/>
            </w:rPr>
            <w:t>12</w:t>
          </w:r>
          <w:r w:rsidR="00E4717E">
            <w:fldChar w:fldCharType="end"/>
          </w:r>
        </w:p>
        <w:p w:rsidR="0085439C" w:rsidRDefault="00BC4223">
          <w:pPr>
            <w:tabs>
              <w:tab w:val="right" w:pos="9925"/>
            </w:tabs>
            <w:spacing w:before="200" w:after="8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ahokz92km3kh">
            <w:r w:rsidR="00E4717E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ОЦЕНОЧНЫХ СРЕДСТВ</w:t>
            </w:r>
          </w:hyperlink>
          <w:r w:rsidR="00E4717E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E4717E">
            <w:fldChar w:fldCharType="begin"/>
          </w:r>
          <w:r w:rsidR="00E4717E">
            <w:instrText xml:space="preserve"> PAGEREF _ahokz92km3kh \h </w:instrText>
          </w:r>
          <w:r w:rsidR="00E4717E">
            <w:fldChar w:fldCharType="separate"/>
          </w:r>
          <w:r w:rsidR="001F7287">
            <w:rPr>
              <w:noProof/>
            </w:rPr>
            <w:t>13</w:t>
          </w:r>
          <w:r w:rsidR="00E4717E">
            <w:fldChar w:fldCharType="end"/>
          </w:r>
          <w:r w:rsidR="00E4717E">
            <w:fldChar w:fldCharType="end"/>
          </w:r>
        </w:p>
      </w:sdtContent>
    </w:sdt>
    <w:p w:rsidR="0085439C" w:rsidRDefault="0085439C"/>
    <w:p w:rsidR="0085439C" w:rsidRDefault="00E4717E">
      <w:pPr>
        <w:pStyle w:val="1"/>
        <w:tabs>
          <w:tab w:val="left" w:pos="708"/>
        </w:tabs>
        <w:jc w:val="left"/>
      </w:pPr>
      <w:bookmarkStart w:id="1" w:name="_vklcja8oiq9w" w:colFirst="0" w:colLast="0"/>
      <w:bookmarkEnd w:id="1"/>
      <w:r>
        <w:br w:type="page"/>
      </w:r>
    </w:p>
    <w:p w:rsidR="0085439C" w:rsidRDefault="00E4717E">
      <w:pPr>
        <w:pStyle w:val="1"/>
        <w:tabs>
          <w:tab w:val="left" w:pos="708"/>
        </w:tabs>
      </w:pPr>
      <w:bookmarkStart w:id="2" w:name="_93ta72gy5sl4" w:colFirst="0" w:colLast="0"/>
      <w:bookmarkEnd w:id="2"/>
      <w:r>
        <w:lastRenderedPageBreak/>
        <w:t>АННОТАЦИЯ</w:t>
      </w:r>
    </w:p>
    <w:p w:rsidR="0085439C" w:rsidRDefault="00E4717E">
      <w:pP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Бизнес-модели операторов космических систем связи, ДЗЗ</w:t>
      </w:r>
    </w:p>
    <w:p w:rsidR="0085439C" w:rsidRDefault="0085439C">
      <w:pP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F12B7E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B7E" w:rsidRPr="00F12B7E">
        <w:rPr>
          <w:rFonts w:ascii="Times New Roman" w:eastAsia="Times New Roman" w:hAnsi="Times New Roman" w:cs="Times New Roman"/>
          <w:sz w:val="28"/>
          <w:szCs w:val="28"/>
        </w:rPr>
        <w:t>11.04.03 Конструирование и технология электронных средств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Профиль (специализация)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D55C6">
        <w:rPr>
          <w:rFonts w:ascii="Times New Roman" w:eastAsia="Times New Roman" w:hAnsi="Times New Roman" w:cs="Times New Roman"/>
          <w:sz w:val="28"/>
          <w:szCs w:val="28"/>
        </w:rPr>
        <w:t>Технологии дистанционного зондирования Земли (ДЗЗ)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 в основной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дисциплина базовой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части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ФТД.В.01).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трудоемкость освоения дисциплины составляет 36 часов, 1  зачетная единица. Учебным планом предусмотрены: лекционные занятия (18 часов), самостоятельная работа студента (18 часов). Дисциплина реализуется на 2 курсе в 4 семестре. Форма контроля по дисциплине - зачет.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Дисциплина реализуется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Школой цифровой экономики.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обучающихся адекватное восприятия теоретических основ и проблем в области разработки и реализации  бизнес-моделей современных компаний в области коммерциализации космических систем сбора данных, а также  и работы  организации.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5439C" w:rsidRDefault="00E4717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ключевые факторы, обеспечивающие формирование успешной бизнес-модели и стабильный рыночный рост.</w:t>
      </w:r>
    </w:p>
    <w:p w:rsidR="0085439C" w:rsidRDefault="00E4717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влияние “инновационной технологии” на успешность бизнес-модели;</w:t>
      </w:r>
    </w:p>
    <w:p w:rsidR="0085439C" w:rsidRDefault="00E4717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основные способы привлечения и выстраивания отношений с клиентами в отрасли</w:t>
      </w:r>
    </w:p>
    <w:p w:rsidR="0085439C" w:rsidRDefault="00E4717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основные технологии формирования каналов сбыта.</w:t>
      </w:r>
    </w:p>
    <w:p w:rsidR="0085439C" w:rsidRDefault="00E4717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выстраивания отношений с партнерами и поставщиками.</w:t>
      </w:r>
    </w:p>
    <w:p w:rsidR="0085439C" w:rsidRDefault="00E4717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Познакомиться с основными методиками разработки бизнес-моделей.</w:t>
      </w:r>
    </w:p>
    <w:p w:rsidR="0085439C" w:rsidRDefault="00E4717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 w:type="page"/>
      </w:r>
    </w:p>
    <w:p w:rsidR="0085439C" w:rsidRDefault="0085439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662"/>
      </w:tblGrid>
      <w:tr w:rsidR="001D55C6" w:rsidRPr="000B1F9F" w:rsidTr="004644A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C6" w:rsidRPr="000B1F9F" w:rsidRDefault="001D55C6" w:rsidP="00464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C6" w:rsidRPr="000B1F9F" w:rsidRDefault="001D55C6" w:rsidP="004644AC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1D55C6" w:rsidRPr="000B1F9F" w:rsidTr="004644A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УК-1.1</w:t>
            </w:r>
          </w:p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Знать: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УК-1.2</w:t>
            </w:r>
          </w:p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Уметь: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УК-1.3</w:t>
            </w:r>
          </w:p>
          <w:p w:rsidR="001D55C6" w:rsidRPr="002F1DEA" w:rsidRDefault="001D55C6" w:rsidP="004644AC">
            <w:pPr>
              <w:autoSpaceDE w:val="0"/>
              <w:autoSpaceDN w:val="0"/>
              <w:adjustRightInd w:val="0"/>
              <w:ind w:left="171" w:right="57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F1DEA">
              <w:rPr>
                <w:rFonts w:ascii="Times New Roman" w:eastAsiaTheme="minorHAnsi" w:hAnsi="Times New Roman" w:cs="Times New Roman"/>
                <w:lang w:eastAsia="en-US"/>
              </w:rPr>
              <w:t>Владеть: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1D55C6" w:rsidRPr="000B1F9F" w:rsidTr="004644A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  <w:r w:rsidRPr="000B1F9F">
              <w:rPr>
                <w:rFonts w:ascii="Times New Roman" w:eastAsiaTheme="minorHAnsi" w:hAnsi="Times New Roman" w:cs="Times New Roman"/>
                <w:lang w:eastAsia="en-US"/>
              </w:rPr>
              <w:t xml:space="preserve">ПК-2 </w:t>
            </w:r>
          </w:p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  <w:r w:rsidRPr="000B1F9F">
              <w:rPr>
                <w:rFonts w:ascii="Times New Roman" w:eastAsiaTheme="minorHAnsi" w:hAnsi="Times New Roman" w:cs="Times New Roman"/>
                <w:lang w:eastAsia="en-US"/>
              </w:rPr>
              <w:t>Способен разрабатывать проектно-конструкторскую документацию на уникальную БА КА в соответствии с методическими и нормативными требованиями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  <w:r w:rsidRPr="000B1F9F">
              <w:rPr>
                <w:rFonts w:ascii="Times New Roman" w:eastAsiaTheme="minorHAnsi" w:hAnsi="Times New Roman" w:cs="Times New Roman"/>
                <w:lang w:eastAsia="en-US"/>
              </w:rPr>
              <w:t>ПК-2.1. Знает методы отработки и внедрения материалов, технологических процессов и оборудования для производства электронных средств</w:t>
            </w:r>
          </w:p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  <w:r w:rsidRPr="000B1F9F">
              <w:rPr>
                <w:rFonts w:ascii="Times New Roman" w:eastAsiaTheme="minorHAnsi" w:hAnsi="Times New Roman" w:cs="Times New Roman"/>
                <w:lang w:eastAsia="en-US"/>
              </w:rPr>
              <w:t>ПК-2.2. Умеет разрабатывать технологическую документацию на проектируемые устройства, приборы и системы электронной техники</w:t>
            </w:r>
          </w:p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D55C6" w:rsidRPr="000B1F9F" w:rsidRDefault="001D55C6" w:rsidP="004644AC">
            <w:pPr>
              <w:autoSpaceDE w:val="0"/>
              <w:autoSpaceDN w:val="0"/>
              <w:adjustRightInd w:val="0"/>
              <w:ind w:left="29" w:right="57" w:firstLine="29"/>
              <w:rPr>
                <w:rFonts w:ascii="Times New Roman" w:eastAsiaTheme="minorHAnsi" w:hAnsi="Times New Roman" w:cs="Times New Roman"/>
                <w:lang w:eastAsia="en-US"/>
              </w:rPr>
            </w:pPr>
            <w:r w:rsidRPr="000B1F9F">
              <w:rPr>
                <w:rFonts w:ascii="Times New Roman" w:eastAsiaTheme="minorHAnsi" w:hAnsi="Times New Roman" w:cs="Times New Roman"/>
                <w:lang w:eastAsia="en-US"/>
              </w:rPr>
              <w:t>ПК-2.3. Владеет навыками организации проведения работ по подготовке производства</w:t>
            </w:r>
          </w:p>
        </w:tc>
      </w:tr>
    </w:tbl>
    <w:p w:rsidR="0085439C" w:rsidRDefault="00854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85439C" w:rsidRDefault="00E471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85439C" w:rsidRDefault="00E4717E">
      <w:pPr>
        <w:pStyle w:val="1"/>
        <w:numPr>
          <w:ilvl w:val="0"/>
          <w:numId w:val="2"/>
        </w:numPr>
      </w:pPr>
      <w:bookmarkStart w:id="4" w:name="_dggt5xqi2y79" w:colFirst="0" w:colLast="0"/>
      <w:bookmarkEnd w:id="4"/>
      <w:r>
        <w:lastRenderedPageBreak/>
        <w:t xml:space="preserve">СТРУКТУРА И СОДЕРЖАНИЕ ТЕОРЕТИЧЕСКОЙ ЧАСТИ КУРСА </w:t>
      </w:r>
    </w:p>
    <w:p w:rsidR="0085439C" w:rsidRDefault="0085439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  <w:gridCol w:w="1005"/>
      </w:tblGrid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1 - Основные компоненты бизнес-модели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бизнес-модели и ее основные компоненты. Детальный анализ бизнес-моделей успешных операторов космических систем связи, ДЗЗ. Пути трансформации существующих бизнес-моделей. Методики разработки бизнес-моделей. Шаблон бизнес-модели.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2 - Потребительская ценность: предлагаемые продукты и сервисы.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 и качество продукции. Стратегии удовлетворенности потребителя. Определению, анализ и модификации путей доставки ценности клиентам.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3 - Потребители. 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аудитория. Составление профиля клиента. Каналы продвижения. Управление отношениями. Сегментации существующих клиентов для того, чтобы адаптировать ценность для каждого типа клиентов. Поиск новых рыночных ниш и клиентов. Вовлечение потребителя в разработку новой продукции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4 - Ключевые бизнес-процессы и ресурсы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бизнес-процессов с помощью науки о данных и имитационного моделирования. Принятие бизнес-решений с помощью моделирования. Определению требований к внутренним процессам для функционирования существующей или будущей бизнес-модели.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5 - Эффективное снабжение и аутсорсинг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и развития системы снабжения и закупок. Алгоритмы действий отдела закупок/снабжения, взаимодействия с другими подразделениями. Повышение эффективности материально-технического снабжения. Анализ бизнес-кейсов, позволяющие моделировать и оптимизировать процедуры снабжения и закупок.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6 - Построение партнерской сети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Построению модели взаимодействия с внешней средой. Проведения переговоров и отбор партнеров. Модели взаимоотношений с партнерами. Оценка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партнетрства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7 - Финансовая модель бизнеса</w:t>
            </w:r>
          </w:p>
          <w:p w:rsidR="0085439C" w:rsidRDefault="00E4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деятельности и исходные данные по компании. Моделирование продаж. Реконструкция расходов в прошлых периодах. Моделирование расходов и расчет прибылей и убытков. Моделирование отчета о движении денежных средств компании. Подготовка к оценке стоимости по методу DCF. Расчет WACC. Оценка стоимости по методу DCF. Мультипликаторы и оценка стоимости методом суммирования составляющих.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39C"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39C" w:rsidRDefault="00E47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85439C" w:rsidRDefault="0085439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85439C" w:rsidRDefault="00E4717E">
      <w:pPr>
        <w:pStyle w:val="1"/>
        <w:numPr>
          <w:ilvl w:val="0"/>
          <w:numId w:val="2"/>
        </w:numPr>
      </w:pPr>
      <w:bookmarkStart w:id="5" w:name="_w1bttzy90u34" w:colFirst="0" w:colLast="0"/>
      <w:bookmarkEnd w:id="5"/>
      <w:r>
        <w:t>СТРУКТУРА И СОДЕРЖАНИЕ ПРАКТИЧЕСКОЙ ЧАСТИ КУРСА</w:t>
      </w:r>
    </w:p>
    <w:p w:rsidR="0085439C" w:rsidRDefault="00E4717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</w:p>
    <w:p w:rsidR="0085439C" w:rsidRDefault="00E4717E">
      <w:pPr>
        <w:pStyle w:val="1"/>
        <w:numPr>
          <w:ilvl w:val="0"/>
          <w:numId w:val="2"/>
        </w:numPr>
        <w:tabs>
          <w:tab w:val="left" w:pos="709"/>
        </w:tabs>
      </w:pPr>
      <w:bookmarkStart w:id="6" w:name="_28ix705sffzc" w:colFirst="0" w:colLast="0"/>
      <w:bookmarkEnd w:id="6"/>
      <w:r>
        <w:lastRenderedPageBreak/>
        <w:t>УЧЕБНО-МЕТОДИЧЕСКОЕ ОБЕСПЕЧЕНИЕ САМОСТОЯТЕЛЬНОЙ РАБОТЫ ОБУЧАЮЩИХСЯ</w:t>
      </w:r>
    </w:p>
    <w:p w:rsidR="0085439C" w:rsidRDefault="0085439C">
      <w:p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«Специальные главы математики и теоретической механики» представлено в Приложении 1 и включает в себя: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выполнения самостоятельной работы.</w:t>
      </w:r>
    </w:p>
    <w:p w:rsidR="0085439C" w:rsidRDefault="0085439C">
      <w:p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85439C" w:rsidRDefault="00E4717E">
      <w:pPr>
        <w:pStyle w:val="1"/>
        <w:numPr>
          <w:ilvl w:val="0"/>
          <w:numId w:val="2"/>
        </w:numPr>
        <w:tabs>
          <w:tab w:val="left" w:pos="709"/>
        </w:tabs>
      </w:pPr>
      <w:bookmarkStart w:id="7" w:name="_i88bb93g5xsd" w:colFirst="0" w:colLast="0"/>
      <w:bookmarkEnd w:id="7"/>
      <w:r>
        <w:t>КОНТРОЛЬ ДОСТИЖЕНИЯ ЦЕЛЕЙ КУРСА</w:t>
      </w:r>
    </w:p>
    <w:p w:rsidR="0085439C" w:rsidRDefault="0085439C">
      <w:p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80"/>
        <w:gridCol w:w="990"/>
        <w:gridCol w:w="1425"/>
        <w:gridCol w:w="2700"/>
        <w:gridCol w:w="2160"/>
      </w:tblGrid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85439C">
        <w:trPr>
          <w:trHeight w:val="7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1 - Основные компоненты бизнес-модели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зачет в форме собеседования</w:t>
            </w: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2 - Потребительская ценность: предлагаемые продукты и сервисы.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3 - Потребители.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4 - Ключевые бизнес-процессы и ресурсы.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5 - Эффективное снабжение и аутсорсинг.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6 - Построение партнерской сети.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7 - Финансовая модель бизнеса.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круглый стол, дискуссия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 доклад, презентация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439C" w:rsidRDefault="0085439C">
      <w:pPr>
        <w:tabs>
          <w:tab w:val="left" w:pos="0"/>
          <w:tab w:val="left" w:pos="1134"/>
          <w:tab w:val="left" w:pos="255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85439C" w:rsidRDefault="0085439C">
      <w:pPr>
        <w:tabs>
          <w:tab w:val="left" w:pos="993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85439C">
      <w:pPr>
        <w:tabs>
          <w:tab w:val="left" w:pos="993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pStyle w:val="1"/>
        <w:tabs>
          <w:tab w:val="left" w:pos="426"/>
        </w:tabs>
      </w:pPr>
      <w:bookmarkStart w:id="8" w:name="_qty9idn3j7nk" w:colFirst="0" w:colLast="0"/>
      <w:bookmarkEnd w:id="8"/>
      <w:r>
        <w:br w:type="page"/>
      </w:r>
    </w:p>
    <w:p w:rsidR="0085439C" w:rsidRDefault="00E4717E">
      <w:pPr>
        <w:pStyle w:val="1"/>
        <w:numPr>
          <w:ilvl w:val="0"/>
          <w:numId w:val="2"/>
        </w:numPr>
        <w:tabs>
          <w:tab w:val="left" w:pos="426"/>
        </w:tabs>
      </w:pPr>
      <w:bookmarkStart w:id="9" w:name="_834b2umv7gde" w:colFirst="0" w:colLast="0"/>
      <w:bookmarkEnd w:id="9"/>
      <w:r>
        <w:lastRenderedPageBreak/>
        <w:t>СПИСОК УЧЕБНОЙ ЛИТЕРАТУРЫ И ИНФОРМАЦИОННО-МЕТОДИЧЕСКОЕ ОБЕСПЕЧЕНИЕ ДИСЦИПЛИНЫ</w:t>
      </w:r>
    </w:p>
    <w:p w:rsidR="0085439C" w:rsidRDefault="0085439C">
      <w:p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Основная литература</w:t>
      </w:r>
    </w:p>
    <w:p w:rsidR="0085439C" w:rsidRDefault="00E4717E">
      <w:p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(электронные и печатные издания)</w:t>
      </w:r>
    </w:p>
    <w:p w:rsidR="0085439C" w:rsidRDefault="00E4717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Коммерциология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предчувствие перемен. Инновационные бизнес-модели коммерческой деятельности/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ГуняковЮ.В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ГуняковД.Ю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СФУ, 2015. - 160 с.: ISBN 978-5-7638-3224-2 - Режим доступа: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http://znanium.com/catalog/product/550323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39C" w:rsidRDefault="00E4717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Бизнес-модели: 55 лучших шаблонов: Научно-популярное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Гассман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Франкенбергер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К., Шик М.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М.:Альпина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2016. - 432 с.: ISBN 978-5-9614-5665-3 - Режим доступа: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http://znanium.com/catalog/product/1002002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39C" w:rsidRDefault="00E4717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Бизнес-процессы промышленного предприятия [Электронный ресурс] : учебное пособие / Н.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Кельчевская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А. Сироткин, И.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Пелымская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[и др.] ; под ред. Н.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Кельчевская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Электрон. текстовые данные. — Екатеринбург : Уральский федеральный университет, ЭБС АСВ, 2016. — 340 c. — 978-5-7996-1824-7. — Режим доступа: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http://www.iprbookshop.ru/68423.html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39C" w:rsidRDefault="00E4717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Майкл,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Учитесь видеть бизнес-процессы [Электронный ресурс] : построение карт потоков создания ценности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Майкл,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Джон ; пер. Г. Муравьева. — Электрон. текстовые данные. — М. : Альпина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2016. — 136 c. — 978-5-9614-5266-2. — Режим доступа: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http://www.iprbookshop.ru/48459.html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39C" w:rsidRDefault="00E4717E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85439C" w:rsidRDefault="00E4717E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(печатные и электронные издания)</w:t>
      </w:r>
    </w:p>
    <w:p w:rsidR="0085439C" w:rsidRDefault="00E4717E">
      <w:pPr>
        <w:numPr>
          <w:ilvl w:val="0"/>
          <w:numId w:val="4"/>
        </w:numPr>
        <w:tabs>
          <w:tab w:val="left" w:pos="993"/>
        </w:tabs>
        <w:spacing w:line="276" w:lineRule="auto"/>
        <w:ind w:right="-36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Бизнес-модели в управлении устойчивым развитием предприятий : учебник /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Тарабрин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[и др.] ; под общ. ред. д-ра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наук, проф.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д-ра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наук, проф.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М. : ИНФРА-М, 2019. — 289 с. — (Высшее образование: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— www.dx.doi.org/10.12737/textbook_5b519180563f24.57747020. - Режим доступа: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http://znanium.com/catalog/product/991927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39C" w:rsidRDefault="00E4717E">
      <w:pPr>
        <w:numPr>
          <w:ilvl w:val="0"/>
          <w:numId w:val="4"/>
        </w:numPr>
        <w:tabs>
          <w:tab w:val="left" w:pos="993"/>
        </w:tabs>
        <w:spacing w:line="276" w:lineRule="auto"/>
        <w:ind w:right="-36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Открытые бизнес-модели. IP-менеджмент /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Чесбро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; пер. с англ. В.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Егорова.Москва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Поколение, 2008. 351 c.</w:t>
      </w:r>
    </w:p>
    <w:p w:rsidR="0085439C" w:rsidRDefault="00E4717E">
      <w:pPr>
        <w:numPr>
          <w:ilvl w:val="0"/>
          <w:numId w:val="4"/>
        </w:numPr>
        <w:tabs>
          <w:tab w:val="left" w:pos="993"/>
        </w:tabs>
        <w:spacing w:line="276" w:lineRule="auto"/>
        <w:ind w:right="-36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Бизнес-процессы: Регламентация и управление: Учебник / В.Г.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Елиферов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В.В. Репин. - М.: НИЦ ИНФРА-М, 2015. - 319 с.: 60x90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1/16. - (Учебники для программы MBA). (переплет) ISBN 978-5-16-001825-6 - Режим доступа: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http://znanium.com/catalog/product/489829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39C" w:rsidRDefault="00E4717E">
      <w:pPr>
        <w:pStyle w:val="1"/>
        <w:numPr>
          <w:ilvl w:val="0"/>
          <w:numId w:val="2"/>
        </w:numPr>
        <w:tabs>
          <w:tab w:val="left" w:pos="426"/>
        </w:tabs>
      </w:pPr>
      <w:bookmarkStart w:id="10" w:name="_gtb0twcs2xly" w:colFirst="0" w:colLast="0"/>
      <w:bookmarkEnd w:id="10"/>
      <w:r>
        <w:t>МЕТОДИЧЕСКИЕ УКАЗАНИЯ ПО ОСВОЕНИЮ ДИСЦИПЛИНЫ</w:t>
      </w:r>
    </w:p>
    <w:p w:rsidR="0085439C" w:rsidRDefault="0085439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Приступая к изучению дисциплины, необходимо в первую очередь ознакомиться с содержанием рабочей программы дисциплины (РПД).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Лекционный курс.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Лекция является основной формой обучения в высшем учебном заведении. В ходе лекционного курса проводится изложение современных научных материалов. В тетради для конспектирования лекций необходимо иметь поля, где по ходу конспектирования делаются необходимые пометки. Записи должны быть избирательными, полностью следует записывать только определения. В конспекте допускается применять сокращение слов, что ускоряет запись. Вопросы, возникающие в ходе лекции, рекомендуется записывать на полях и после окончания лекции обратиться за разъяснением к преподавателю.</w:t>
      </w:r>
    </w:p>
    <w:p w:rsidR="0085439C" w:rsidRDefault="00E4717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активно работать с конспектом лекции: после окончания лекции рекомендуется перечитать свои записи, внести поправки и дополнения на полях. Конспекты лекций следует использовать при подготовке к семинарам, при подготовке к зачету, контрольным вопросам, при выполнении самостоятельных заданий. Лекции имеют целью дать систематизированные основы научных знаний. При изучении и проработке теоретического материала для обучения необходимо повторить законспектированный на лекционном занятии материал и дополнить его с учетом рекомендованной по данной теме литературы; при самостоятельном изучении теоретической темы сделать конспект, используя рекомендованные в РПД литературные источники и ресурсы информационно-телекоммуникационной сети «Интернет».</w:t>
      </w:r>
    </w:p>
    <w:p w:rsidR="0085439C" w:rsidRDefault="0085439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39C" w:rsidRDefault="00E4717E">
      <w:pPr>
        <w:pStyle w:val="1"/>
        <w:tabs>
          <w:tab w:val="left" w:pos="426"/>
        </w:tabs>
        <w:jc w:val="left"/>
      </w:pPr>
      <w:bookmarkStart w:id="11" w:name="_682ya88qo8rk" w:colFirst="0" w:colLast="0"/>
      <w:bookmarkEnd w:id="11"/>
      <w:r>
        <w:br w:type="page"/>
      </w:r>
    </w:p>
    <w:p w:rsidR="0085439C" w:rsidRDefault="00E4717E">
      <w:pPr>
        <w:pStyle w:val="1"/>
        <w:numPr>
          <w:ilvl w:val="0"/>
          <w:numId w:val="2"/>
        </w:numPr>
        <w:tabs>
          <w:tab w:val="left" w:pos="426"/>
        </w:tabs>
      </w:pPr>
      <w:bookmarkStart w:id="12" w:name="_3mp6v1dmx10w" w:colFirst="0" w:colLast="0"/>
      <w:bookmarkEnd w:id="12"/>
      <w:r>
        <w:lastRenderedPageBreak/>
        <w:t>МАТЕРИАЛЬНО-ТЕХНИЧЕСКОЕ ОБЕСПЕЧЕНИЕ ДИСЦИПЛИНЫ</w:t>
      </w:r>
    </w:p>
    <w:p w:rsidR="0085439C" w:rsidRDefault="0085439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7290"/>
      </w:tblGrid>
      <w:tr w:rsidR="0085439C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 МТО</w:t>
            </w:r>
          </w:p>
        </w:tc>
      </w:tr>
      <w:tr w:rsidR="0085439C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690922, Приморский край,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Владивосток,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 Русский, п. Аякс, 10,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Владивосток, о. Русский, п. Аякс , корпус С, ауд. С 305</w:t>
            </w:r>
          </w:p>
          <w:p w:rsidR="0085439C" w:rsidRDefault="0085439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Компьютерный класс: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ПК DEXP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Jupiter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P124 или аналог - не менее 3 шт.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Операционная система: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Модель процессора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i5 7500, количество ядер процессора: не менее 4, частота процессора: не менее 3400 МГц, автоматическое увеличение частоты: до 3800 МГц,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оОбъем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кэша L2 не менее 1 МБ, Объем кэша L3 не менее 6 МБ, тип видеокарты дискретная, производитель видеочипа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Nvidia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модель дискретной видеокарты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GTX 1070, модель интегрированной видеокарты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Graphics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630, тип видеопамяти GDDR5, объем видеопамяти не менее 8192 МБ, тип оперативной памяти DDR4, размер оперативной памяти не менее 8 ГБ, суммарный объем жестких дисков (HDD) не менее 1 ТБ, Интерфейсы/разъемы: видео интерфейсы HDMI,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DVI, Интерфейсы периферии USB 2.0 x8, USB 3.0 x2,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х2, вид доступа в Интернет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Скорость сетевого адаптера до 1000 Мбит/с.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Системный блок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Vostro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3650 MT i7-6700 3.4GHz 8Gb 1Tb DVD-RW Win10SL или аналог - не менее 15 шт.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i7-6700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Skylake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3.40ГГц, 8Mb, LGA1151), количество ядер: не менее 4, система охлаждения воздушная, 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установленная оперативная память: не менее</w:t>
            </w:r>
            <w:r>
              <w:rPr>
                <w:rFonts w:ascii="Times New Roman" w:eastAsia="Times New Roman" w:hAnsi="Times New Roman" w:cs="Times New Roman"/>
              </w:rPr>
              <w:tab/>
              <w:t>8 Гб, тип оперативной памяти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DDR3, максимальный объем оперативной памяти: 16 Гб, постоянный объем памяти: 1000 Гб, тип устройства: HDD, интерфейс: SATA, видеокарта PNY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Quadro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K420, 2Gb DDR3 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памяти не менее 2048 Мб, устройство чтения карт памяти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CardReader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Разъемы RJ-45, HDMI, 4 x USB 2.0, VGA,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line-out</w:t>
            </w:r>
            <w:proofErr w:type="spellEnd"/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x USB 3.0, оптические накопители</w:t>
            </w:r>
            <w:r>
              <w:rPr>
                <w:rFonts w:ascii="Times New Roman" w:eastAsia="Times New Roman" w:hAnsi="Times New Roman" w:cs="Times New Roman"/>
              </w:rPr>
              <w:tab/>
              <w:t>DVD±RW, сетевая карта 10/100/1000 Мбит/с, операционная система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Лицензионная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Домашняя.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Монитор 23"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S2316H IPS, LED, 1920x1080, 6ms, 250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/m2, 1000:1 (DCR 8M:1), D-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HDMI (MHL), 3Wx2 или аналог - не менее 18 шт.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диагональ экрана не менее 23", максимальное разрешение не хуже 1920x1080, технология изготовления матрицы: IPS, Технические характеристики экрана, Время отклика пикселя,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Частота при максимальном разрешении 60 Гц,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видеоразъемы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HDMI, VGA (D-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Лаборатория ВЧ-техники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Радиостанция ICOM 9100 - 1 шт. Радиостанция ICOM 7100 - 1 шт. Антенно-поворотное устройство YAETSU G5500 - 2 шт. Компьютерный интерфейс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Yaesu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GS-232B - 2 шт. Блок питания MANSON SPA-8330 (33А, импульсный, 13.8В) - 2, Блок питания БАЙКАЛ БК30Л5 (30А, импульсный, 13.8В, регулируемый, 9-15В, индикация LCD) - 2 шт., Спутниковая антенна 145 МГц CUSHCRAFT A148-20T или аналог - 1 шт. Спутниковая антенна 435 МГц HY-GAIN UB-7030SAT или аналог</w:t>
            </w:r>
            <w:r>
              <w:rPr>
                <w:rFonts w:ascii="Times New Roman" w:eastAsia="Times New Roman" w:hAnsi="Times New Roman" w:cs="Times New Roman"/>
              </w:rPr>
              <w:tab/>
              <w:t>1 шт. Антенный анализатор AA1400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1, Измеритель КСВ и мощности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Diamond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SX-600 - 1 шт. МШУ на прием типа SSB-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SP-7000 - 1 шт. МШУ на прием типа SSB-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SP-200 - 1 шт. Секвенсор  DCW 2004 B</w:t>
            </w:r>
            <w:r>
              <w:rPr>
                <w:rFonts w:ascii="Times New Roman" w:eastAsia="Times New Roman" w:hAnsi="Times New Roman" w:cs="Times New Roman"/>
              </w:rPr>
              <w:tab/>
              <w:t>- 2 шт.</w:t>
            </w:r>
          </w:p>
        </w:tc>
      </w:tr>
    </w:tbl>
    <w:p w:rsidR="0085439C" w:rsidRDefault="0085439C">
      <w:pPr>
        <w:tabs>
          <w:tab w:val="left" w:pos="42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39C" w:rsidRDefault="0085439C">
      <w:pPr>
        <w:tabs>
          <w:tab w:val="left" w:pos="42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5439C" w:rsidRDefault="00E4717E">
      <w:pPr>
        <w:tabs>
          <w:tab w:val="left" w:pos="426"/>
        </w:tabs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5439C" w:rsidRDefault="0085439C">
      <w:pPr>
        <w:tabs>
          <w:tab w:val="left" w:pos="709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pStyle w:val="1"/>
        <w:tabs>
          <w:tab w:val="left" w:pos="709"/>
        </w:tabs>
      </w:pPr>
      <w:bookmarkStart w:id="13" w:name="_71uvhfhix1fn" w:colFirst="0" w:colLast="0"/>
      <w:bookmarkEnd w:id="13"/>
      <w:r>
        <w:t>УЧЕБНО-МЕТОДИЧЕСКОЕ ОБЕСПЕЧЕНИЕ САМОСТОЯТЕЛЬНОЙ РАБОТЫ ОБУЧАЮЩИХСЯ</w:t>
      </w:r>
    </w:p>
    <w:p w:rsidR="0085439C" w:rsidRDefault="00E4717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Style w:val="a9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500"/>
        <w:gridCol w:w="2130"/>
        <w:gridCol w:w="2880"/>
      </w:tblGrid>
      <w:tr w:rsidR="0085439C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самостоятельной работы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Примерные нормы времени на выполнение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85439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Проработка лекционного материала по конспектам и учебной литературе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</w:tr>
      <w:tr w:rsidR="0085439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промежуточной аттестации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</w:t>
            </w:r>
          </w:p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собеседованием</w:t>
            </w:r>
          </w:p>
        </w:tc>
      </w:tr>
      <w:tr w:rsidR="0085439C">
        <w:trPr>
          <w:trHeight w:val="2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</w:tcPr>
          <w:p w:rsidR="0085439C" w:rsidRDefault="00E4717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439C" w:rsidRDefault="00E471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самостоятельной работе студентов</w:t>
      </w:r>
    </w:p>
    <w:p w:rsidR="0085439C" w:rsidRDefault="00E471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мере освоения учебного материала по тематике дисциплины предусмотрено выполнение самостоятельной работы магистрами по сбору и обработки статистического материала, что позволяет углубить и закрепить конкретные знания, полученные на практических занятиях. Занятия проводится в специализированной аудитории, оснащенной современным оборудованием и необходимыми техническими средствами обучения. Для изучения и полного освоения программного материала по дисциплине используется учебная, справочная и другая литература, рекомендуемая настоящей программой, а также профильные периодические издания.</w:t>
      </w:r>
    </w:p>
    <w:p w:rsidR="0085439C" w:rsidRDefault="00E471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 в учебном процессе с целью формирования и развития профессиональных навыков обучающихся при проведении практических занятий широко используются активные и интерактивные формы обучения (разбор конкретных ситуаций) в сочетании с внеаудиторной работой.</w:t>
      </w:r>
    </w:p>
    <w:p w:rsidR="0085439C" w:rsidRDefault="00E471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(СРС) складывается из таких видов работ как работа с конспектом лекций; изучение материала по учебникам, справочникам, видеоматериалам и презентациям, а также прочим достоверным источникам информации; подготовка к экзамену.</w:t>
      </w:r>
    </w:p>
    <w:p w:rsidR="0085439C" w:rsidRDefault="00E471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закрепления материала лекций достаточно, перелистывая конспект или читая его, мысленно восстановить прослушанный материал. При необходимости обратиться к рекомендуемой учебной и справочной литературе, записать непонятные моменты в вопросах для уяснения их на предстоящем занятии.</w:t>
      </w:r>
    </w:p>
    <w:p w:rsidR="0085439C" w:rsidRDefault="00E4717E">
      <w:pPr>
        <w:tabs>
          <w:tab w:val="left" w:pos="426"/>
        </w:tabs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5439C" w:rsidRDefault="00E4717E">
      <w:pPr>
        <w:tabs>
          <w:tab w:val="left" w:pos="426"/>
        </w:tabs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5439C" w:rsidRDefault="00E4717E">
      <w:pPr>
        <w:pStyle w:val="1"/>
        <w:tabs>
          <w:tab w:val="left" w:pos="709"/>
        </w:tabs>
      </w:pPr>
      <w:bookmarkStart w:id="14" w:name="_ahokz92km3kh" w:colFirst="0" w:colLast="0"/>
      <w:bookmarkEnd w:id="14"/>
      <w:r>
        <w:t xml:space="preserve">ФОНД ОЦЕНОЧНЫХ СРЕДСТВ </w:t>
      </w:r>
    </w:p>
    <w:p w:rsidR="0085439C" w:rsidRDefault="0085439C">
      <w:pPr>
        <w:tabs>
          <w:tab w:val="left" w:pos="993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39C" w:rsidRDefault="00E4717E">
      <w:pPr>
        <w:tabs>
          <w:tab w:val="left" w:pos="993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ФОС</w:t>
      </w:r>
    </w:p>
    <w:tbl>
      <w:tblPr>
        <w:tblStyle w:val="aa"/>
        <w:tblW w:w="93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5519"/>
      </w:tblGrid>
      <w:tr w:rsidR="008543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E4717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85439C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ОПК-5 способностью использовать методы современной экономической теории при оценке эффективности разрабатываемых и исследуемых систем и устройств, а также результатов своей профессиональной деятельности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категории, методы и инструменты экономической</w:t>
            </w:r>
          </w:p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прикладных экономических дисциплин</w:t>
            </w:r>
          </w:p>
        </w:tc>
      </w:tr>
      <w:tr w:rsidR="0085439C">
        <w:trPr>
          <w:trHeight w:val="50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экономические знания и положения экономической науки с учетом особенностей рыночной экономики: вести научные исследования в экономической сфере.</w:t>
            </w:r>
          </w:p>
        </w:tc>
      </w:tr>
      <w:tr w:rsidR="0085439C">
        <w:trPr>
          <w:trHeight w:val="4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экономической оценки научных исследований, интеллектуального труда; навыками самостоятельного поиска работы; применения на практике базовых положений</w:t>
            </w:r>
          </w:p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науки</w:t>
            </w:r>
          </w:p>
        </w:tc>
      </w:tr>
      <w:tr w:rsidR="0085439C">
        <w:trPr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ПК-8 готовностью к руководству и участию в подготовке технико-экономического обоснования проектов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робототехнических систем, их подсистем и отдельных модулей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подготовки технико-экономических обоснований и оценки коммерческого потенциала технологий и продуктов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робототехнических и космических систем</w:t>
            </w:r>
          </w:p>
        </w:tc>
      </w:tr>
      <w:tr w:rsidR="0085439C">
        <w:trPr>
          <w:jc w:val="center"/>
        </w:trPr>
        <w:tc>
          <w:tcPr>
            <w:tcW w:w="254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предварительные аналитические исследования и собирать информацию о рынке технологий и решений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робототехнических и космических систем с учетом их влияния на технико-экономические параметры проектов и программ</w:t>
            </w:r>
          </w:p>
        </w:tc>
      </w:tr>
      <w:tr w:rsidR="0085439C">
        <w:trPr>
          <w:jc w:val="center"/>
        </w:trPr>
        <w:tc>
          <w:tcPr>
            <w:tcW w:w="254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оценки коммерческого потенциала проектов и программ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робототехнических и космических систем;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проведения технико-экономических обоснований решений для проектов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робототехнических и космических систем.</w:t>
            </w:r>
          </w:p>
        </w:tc>
      </w:tr>
    </w:tbl>
    <w:p w:rsidR="0085439C" w:rsidRDefault="0085439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85439C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85439C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85439C">
      <w:p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85439C">
      <w:p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0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80"/>
        <w:gridCol w:w="990"/>
        <w:gridCol w:w="1425"/>
        <w:gridCol w:w="2700"/>
        <w:gridCol w:w="2160"/>
      </w:tblGrid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85439C">
        <w:trPr>
          <w:trHeight w:val="7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1 - Основные компоненты бизнес-модели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зачет в форме собеседования</w:t>
            </w: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2 - Потребительская ценность: предлагаемые продукты и сервисы.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3 - Потребители.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4 - Ключевые бизнес-процессы и ресурсы.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5 - Эффективное снабжение и аутсорсинг.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6 - Построение партнерской сети.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7 - Финансовая модель бизнеса.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  <w:p w:rsidR="0085439C" w:rsidRDefault="00E471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круглый стол, дискуссия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9C">
        <w:trPr>
          <w:trHeight w:val="300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85439C">
            <w:pPr>
              <w:tabs>
                <w:tab w:val="left" w:pos="0"/>
                <w:tab w:val="left" w:pos="1134"/>
                <w:tab w:val="left" w:pos="255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9C" w:rsidRDefault="00E471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 доклад, презентация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439C" w:rsidRDefault="0085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439C" w:rsidRDefault="0085439C">
      <w:pPr>
        <w:tabs>
          <w:tab w:val="left" w:pos="0"/>
          <w:tab w:val="left" w:pos="1134"/>
          <w:tab w:val="left" w:pos="255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85439C">
      <w:pPr>
        <w:tabs>
          <w:tab w:val="left" w:pos="1276"/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gjdgxs" w:colFirst="0" w:colLast="0"/>
      <w:bookmarkEnd w:id="15"/>
    </w:p>
    <w:p w:rsidR="0085439C" w:rsidRDefault="00E4717E">
      <w:pPr>
        <w:spacing w:line="276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85439C" w:rsidRDefault="00E4717E">
      <w:pPr>
        <w:spacing w:line="276" w:lineRule="auto"/>
        <w:ind w:lef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рекомендации, определяющие процедуры оценивания результатов освоения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дисциплины </w:t>
      </w:r>
    </w:p>
    <w:p w:rsidR="0085439C" w:rsidRDefault="0085439C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439C" w:rsidRDefault="00E4717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Текущая аттестация студентов. </w:t>
      </w:r>
    </w:p>
    <w:p w:rsidR="0085439C" w:rsidRDefault="0085439C">
      <w:pPr>
        <w:tabs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Текущая аттестация студентов проводится в соответствии с локальными нормативными актами ДВФУ и является обязательной. Текущая аттестация проводится в форме контрольных мероприятий: собеседование, круглый стол, мастер-класс, защита практических работ.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оценивания выступают: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степень усвоения теоретических знаний;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овладения практическими умениями и навыками по всем видам учебной работы;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результаты самостоятельной работы.</w:t>
      </w:r>
    </w:p>
    <w:p w:rsidR="0085439C" w:rsidRDefault="0085439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студентов. 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студентов проводится в соответствии с локальными нормативными актами ДВФУ и является обязательной. Промежуточная аттестация предусматривает устный опрос.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Зачетно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-экзаменационные материалы</w:t>
      </w: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знаний студентов итоговым контролем учитывается объем знаний, качество их усвоения, понимание логики учебной дисциплины, место каждой темы в курсе. Оцениваются умение свободно, грамотно, логически стройно излагать изученное, способность аргументировано защищать собственную точку зрения.</w:t>
      </w:r>
    </w:p>
    <w:p w:rsidR="0085439C" w:rsidRDefault="0085439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39C" w:rsidRDefault="00E4717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вопросов и заданий к зачету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бизнес-модели и ее основные компоненты.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Детальный анализ бизнес-моделей успешных операторов космических систем связи, ДЗЗ.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Пути трансформации существующих бизнес-моделей.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Методики разработки бизнес-моделей. Шаблоны бизнес-моделей.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потребителя и качество продукции.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Стратегии удовлетворенности потребителя.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Определению, анализ и модификации путей доставки ценности клиентам.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аудитория. Составление профиля клиента.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Каналы продвижения. Управление отношениями.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Сегментации существующих клиентов.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новых рыночных ниш и клиентов. Вовлечение потребителя в разработку новой продукции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Оптимизация бизнес-процессов с помощью науки о данных и имитационного моделирования.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бизнес-решений с помощью моделирования. Определению требований к внутренним процессам для функционирования существующей или будущей бизнес-модели.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Создания и развития системы снабжения и закупок.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Алгоритмы действий отдела закупок/снабжения, взаимодействия с другими подразделениями.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материально-технического снабжения.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бизнес-кейсов, позволяющие моделировать и оптимизировать процедуры снабжения и закупок.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Построению модели взаимодействия с внешней средой.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переговоров и отбор партнеров.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взаимоотношений с партнерами. Оценка эффективности партнерства.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продаж.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расходов в прошлых периодах. Моделирование расходов и расчет прибылей и убытков.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отчета о движении денежных средств компании.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оценке стоимости по методу DCF.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WACC.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стоимости по методу DCF. </w:t>
      </w:r>
    </w:p>
    <w:p w:rsidR="0085439C" w:rsidRDefault="00E4717E">
      <w:pPr>
        <w:numPr>
          <w:ilvl w:val="0"/>
          <w:numId w:val="5"/>
        </w:num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Мультипликаторы и оценка стоимости методом суммирования составляющих.</w:t>
      </w:r>
    </w:p>
    <w:p w:rsidR="0085439C" w:rsidRDefault="0085439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9C" w:rsidRDefault="00E4717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85439C" w:rsidRDefault="00E4717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выставления оценки студенту на зачете/экзамене</w:t>
      </w:r>
    </w:p>
    <w:tbl>
      <w:tblPr>
        <w:tblStyle w:val="ac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665"/>
        <w:gridCol w:w="7035"/>
      </w:tblGrid>
      <w:tr w:rsidR="008543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</w:t>
            </w:r>
            <w:proofErr w:type="spellEnd"/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говой</w:t>
            </w:r>
            <w:proofErr w:type="spellEnd"/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сформированным компетенциям</w:t>
            </w:r>
          </w:p>
        </w:tc>
      </w:tr>
      <w:tr w:rsidR="008543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100-61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«зачет»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«Зачет»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владеет разносторонними навыками и приемами выполнения практических задач по методологии научных исследований.</w:t>
            </w:r>
          </w:p>
        </w:tc>
      </w:tr>
      <w:tr w:rsidR="0085439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60-50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«незачет»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39C" w:rsidRDefault="00E47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«Незачет» выставляется студенту, который не знает значительной части программного материала по, допускает существенные ошибки, неуверенно, с большими затруднениями выполняет практические работы. Как правило,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85439C" w:rsidRDefault="0085439C">
      <w:p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85439C" w:rsidRDefault="008543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5439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13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23" w:rsidRDefault="00BC4223">
      <w:r>
        <w:separator/>
      </w:r>
    </w:p>
  </w:endnote>
  <w:endnote w:type="continuationSeparator" w:id="0">
    <w:p w:rsidR="00BC4223" w:rsidRDefault="00BC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9C" w:rsidRDefault="00E4717E">
    <w:pPr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1D55C6">
      <w:rPr>
        <w:rFonts w:ascii="Times New Roman" w:eastAsia="Times New Roman" w:hAnsi="Times New Roman" w:cs="Times New Roman"/>
        <w:noProof/>
        <w:sz w:val="28"/>
        <w:szCs w:val="28"/>
      </w:rPr>
      <w:t>6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9C" w:rsidRDefault="008543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23" w:rsidRDefault="00BC4223">
      <w:r>
        <w:separator/>
      </w:r>
    </w:p>
  </w:footnote>
  <w:footnote w:type="continuationSeparator" w:id="0">
    <w:p w:rsidR="00BC4223" w:rsidRDefault="00BC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9C" w:rsidRDefault="008543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9C" w:rsidRDefault="008543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DFA"/>
    <w:multiLevelType w:val="multilevel"/>
    <w:tmpl w:val="2D3A9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E45376"/>
    <w:multiLevelType w:val="multilevel"/>
    <w:tmpl w:val="4F502F0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8231B44"/>
    <w:multiLevelType w:val="multilevel"/>
    <w:tmpl w:val="612C4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6B70F9"/>
    <w:multiLevelType w:val="multilevel"/>
    <w:tmpl w:val="B4FA798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" w15:restartNumberingAfterBreak="0">
    <w:nsid w:val="79A804D2"/>
    <w:multiLevelType w:val="multilevel"/>
    <w:tmpl w:val="317242E4"/>
    <w:lvl w:ilvl="0">
      <w:start w:val="1"/>
      <w:numFmt w:val="decimal"/>
      <w:lvlText w:val="%1."/>
      <w:lvlJc w:val="left"/>
      <w:pPr>
        <w:ind w:left="17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C"/>
    <w:rsid w:val="00156E80"/>
    <w:rsid w:val="001D55C6"/>
    <w:rsid w:val="001F7287"/>
    <w:rsid w:val="0085439C"/>
    <w:rsid w:val="00B6320A"/>
    <w:rsid w:val="00BC4223"/>
    <w:rsid w:val="00DF7C0D"/>
    <w:rsid w:val="00E4717E"/>
    <w:rsid w:val="00F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06C5530-C17D-4A13-83EE-30D99E6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284"/>
      </w:tabs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Знак Знак10"/>
    <w:basedOn w:val="a"/>
    <w:rsid w:val="001F728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F72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prbookshop.ru/48459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68423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1002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89829" TargetMode="External"/><Relationship Id="rId10" Type="http://schemas.openxmlformats.org/officeDocument/2006/relationships/hyperlink" Target="http://znanium.com/catalog/product/55032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/product/991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Лаштанова Анна Николаевна</cp:lastModifiedBy>
  <cp:revision>5</cp:revision>
  <cp:lastPrinted>2019-05-25T08:20:00Z</cp:lastPrinted>
  <dcterms:created xsi:type="dcterms:W3CDTF">2019-05-25T08:18:00Z</dcterms:created>
  <dcterms:modified xsi:type="dcterms:W3CDTF">2019-09-24T07:21:00Z</dcterms:modified>
</cp:coreProperties>
</file>