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53" w:rsidRPr="0054796B" w:rsidRDefault="0054796B" w:rsidP="00E95153">
      <w:pPr>
        <w:jc w:val="center"/>
        <w:rPr>
          <w:rFonts w:ascii="Times New Roman" w:hAnsi="Times New Roman"/>
          <w:b/>
          <w:sz w:val="32"/>
          <w:szCs w:val="28"/>
          <w:lang w:eastAsia="ru-RU"/>
        </w:rPr>
      </w:pPr>
      <w:r w:rsidRPr="0054796B">
        <w:rPr>
          <w:rFonts w:ascii="Times New Roman" w:hAnsi="Times New Roman"/>
          <w:b/>
          <w:sz w:val="32"/>
          <w:szCs w:val="28"/>
          <w:lang w:eastAsia="ru-RU"/>
        </w:rPr>
        <w:t>АННОТАЦИЯ</w:t>
      </w:r>
    </w:p>
    <w:p w:rsidR="000F48CD" w:rsidRDefault="0054796B" w:rsidP="00E9515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796B">
        <w:rPr>
          <w:rFonts w:ascii="Times New Roman" w:hAnsi="Times New Roman"/>
          <w:b/>
          <w:bCs/>
          <w:sz w:val="28"/>
          <w:szCs w:val="28"/>
          <w:lang w:eastAsia="ru-RU"/>
        </w:rPr>
        <w:t>К РАБОЧЕЙ ПРОГРАММЕ ЦЧЕБНОЙ ДИСЦИПЛИНЫ</w:t>
      </w:r>
    </w:p>
    <w:p w:rsidR="0054796B" w:rsidRPr="00124C71" w:rsidRDefault="0054796B" w:rsidP="00E9515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«БИОХИМИЯ»</w:t>
      </w:r>
    </w:p>
    <w:p w:rsidR="00E95153" w:rsidRDefault="00E95153" w:rsidP="00E951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F95">
        <w:rPr>
          <w:rFonts w:ascii="Times New Roman" w:hAnsi="Times New Roman"/>
          <w:sz w:val="28"/>
          <w:szCs w:val="28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 зачетных единиц, </w:t>
      </w:r>
      <w:r>
        <w:rPr>
          <w:rFonts w:ascii="Times New Roman" w:hAnsi="Times New Roman"/>
          <w:sz w:val="28"/>
          <w:szCs w:val="28"/>
          <w:lang w:eastAsia="ru-RU"/>
        </w:rPr>
        <w:t>324 часа</w:t>
      </w:r>
      <w:r w:rsidRPr="00F02F95">
        <w:rPr>
          <w:rFonts w:ascii="Times New Roman" w:hAnsi="Times New Roman"/>
          <w:sz w:val="28"/>
          <w:szCs w:val="28"/>
          <w:lang w:eastAsia="ru-RU"/>
        </w:rPr>
        <w:t>. Учебным планом предусмотрены аудиторные занятия (</w:t>
      </w:r>
      <w:r>
        <w:rPr>
          <w:rFonts w:ascii="Times New Roman" w:hAnsi="Times New Roman"/>
          <w:sz w:val="28"/>
          <w:szCs w:val="28"/>
          <w:lang w:eastAsia="ru-RU"/>
        </w:rPr>
        <w:t>216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 xml:space="preserve">лекционные занятия (72 час.), </w:t>
      </w:r>
      <w:r w:rsidRPr="00F02F95">
        <w:rPr>
          <w:rFonts w:ascii="Times New Roman" w:hAnsi="Times New Roman"/>
          <w:sz w:val="28"/>
          <w:szCs w:val="28"/>
          <w:lang w:eastAsia="ru-RU"/>
        </w:rPr>
        <w:t>лабораторные рабо</w:t>
      </w:r>
      <w:r>
        <w:rPr>
          <w:rFonts w:ascii="Times New Roman" w:hAnsi="Times New Roman"/>
          <w:sz w:val="28"/>
          <w:szCs w:val="28"/>
          <w:lang w:eastAsia="ru-RU"/>
        </w:rPr>
        <w:t>ты (36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 xml:space="preserve">.), практические занятия (108 час.), </w:t>
      </w:r>
      <w:r w:rsidRPr="00F02F95">
        <w:rPr>
          <w:rFonts w:ascii="Times New Roman" w:hAnsi="Times New Roman"/>
          <w:sz w:val="28"/>
          <w:szCs w:val="28"/>
          <w:lang w:eastAsia="ru-RU"/>
        </w:rPr>
        <w:t>сам</w:t>
      </w:r>
      <w:r>
        <w:rPr>
          <w:rFonts w:ascii="Times New Roman" w:hAnsi="Times New Roman"/>
          <w:sz w:val="28"/>
          <w:szCs w:val="28"/>
          <w:lang w:eastAsia="ru-RU"/>
        </w:rPr>
        <w:t>остоятельная работа студента (108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ов, включая 45 часов на экзамен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). Дисциплина реализуется на </w:t>
      </w:r>
      <w:r>
        <w:rPr>
          <w:rFonts w:ascii="Times New Roman" w:hAnsi="Times New Roman"/>
          <w:sz w:val="28"/>
          <w:szCs w:val="28"/>
          <w:lang w:eastAsia="ru-RU"/>
        </w:rPr>
        <w:t>3 курсе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5, 6</w:t>
      </w:r>
      <w:r w:rsidRPr="00F02F95">
        <w:rPr>
          <w:rFonts w:ascii="Times New Roman" w:hAnsi="Times New Roman"/>
          <w:sz w:val="28"/>
          <w:szCs w:val="28"/>
          <w:lang w:eastAsia="ru-RU"/>
        </w:rPr>
        <w:t xml:space="preserve"> семестрах.</w:t>
      </w:r>
    </w:p>
    <w:p w:rsidR="00E95153" w:rsidRPr="00F02F95" w:rsidRDefault="00E95153" w:rsidP="00E95153">
      <w:pPr>
        <w:spacing w:after="0" w:line="312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2F95">
        <w:rPr>
          <w:rFonts w:ascii="Times New Roman" w:hAnsi="Times New Roman"/>
          <w:color w:val="000000"/>
          <w:sz w:val="28"/>
          <w:szCs w:val="28"/>
        </w:rPr>
        <w:t>Дисциплина  «</w:t>
      </w:r>
      <w:proofErr w:type="gramEnd"/>
      <w:r w:rsidRPr="00F02F95">
        <w:rPr>
          <w:rFonts w:ascii="Times New Roman" w:hAnsi="Times New Roman"/>
          <w:spacing w:val="-8"/>
          <w:sz w:val="28"/>
          <w:szCs w:val="28"/>
        </w:rPr>
        <w:t>Био</w:t>
      </w:r>
      <w:r>
        <w:rPr>
          <w:rFonts w:ascii="Times New Roman" w:hAnsi="Times New Roman"/>
          <w:spacing w:val="-8"/>
          <w:sz w:val="28"/>
          <w:szCs w:val="28"/>
        </w:rPr>
        <w:t>химия</w:t>
      </w:r>
      <w:r w:rsidRPr="00F02F95">
        <w:rPr>
          <w:rFonts w:ascii="Times New Roman" w:hAnsi="Times New Roman"/>
          <w:color w:val="000000"/>
          <w:sz w:val="28"/>
          <w:szCs w:val="28"/>
        </w:rPr>
        <w:t>» логически и содержательно связана с такими курсами, как общая и неорганическая химия, физиология, гистология, биология.</w:t>
      </w:r>
    </w:p>
    <w:p w:rsidR="00E95153" w:rsidRDefault="00E95153" w:rsidP="00E95153">
      <w:pPr>
        <w:pStyle w:val="Default"/>
        <w:jc w:val="both"/>
      </w:pPr>
    </w:p>
    <w:p w:rsidR="00E95153" w:rsidRPr="00D7022A" w:rsidRDefault="00E95153" w:rsidP="00E95153">
      <w:pPr>
        <w:jc w:val="center"/>
        <w:rPr>
          <w:rFonts w:ascii="Times New Roman" w:hAnsi="Times New Roman"/>
          <w:b/>
          <w:sz w:val="28"/>
          <w:szCs w:val="28"/>
        </w:rPr>
      </w:pPr>
      <w:r w:rsidRPr="00D7022A">
        <w:rPr>
          <w:rFonts w:ascii="Times New Roman" w:hAnsi="Times New Roman"/>
          <w:b/>
          <w:sz w:val="28"/>
          <w:szCs w:val="28"/>
        </w:rPr>
        <w:t>Цели и задачи изучения дисциплины:</w:t>
      </w:r>
    </w:p>
    <w:p w:rsidR="00E95153" w:rsidRPr="00D7022A" w:rsidRDefault="00E95153" w:rsidP="00E95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2A">
        <w:rPr>
          <w:rFonts w:ascii="Times New Roman" w:hAnsi="Times New Roman"/>
          <w:b/>
          <w:sz w:val="28"/>
          <w:szCs w:val="28"/>
        </w:rPr>
        <w:t>Цель</w:t>
      </w:r>
      <w:r w:rsidRPr="00D7022A">
        <w:rPr>
          <w:rFonts w:ascii="Times New Roman" w:hAnsi="Times New Roman"/>
          <w:sz w:val="28"/>
          <w:szCs w:val="28"/>
        </w:rPr>
        <w:t xml:space="preserve"> – сформировать знания об основных закономерностях протекания метаболических процессов, определяющих состояние здоровья и адаптации человека на молекулярном, клеточном и органном уровне целостного организма и умение применять полученные знания при решении клинических задач.</w:t>
      </w:r>
    </w:p>
    <w:p w:rsidR="00E95153" w:rsidRPr="00D7022A" w:rsidRDefault="00E95153" w:rsidP="00E951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022A">
        <w:rPr>
          <w:rFonts w:ascii="Times New Roman" w:hAnsi="Times New Roman"/>
          <w:b/>
          <w:sz w:val="28"/>
          <w:szCs w:val="28"/>
        </w:rPr>
        <w:t>Задачи:</w:t>
      </w:r>
    </w:p>
    <w:p w:rsidR="00E95153" w:rsidRPr="00D7022A" w:rsidRDefault="00E95153" w:rsidP="00E951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22A">
        <w:rPr>
          <w:rFonts w:ascii="Times New Roman" w:hAnsi="Times New Roman"/>
          <w:sz w:val="28"/>
          <w:szCs w:val="28"/>
        </w:rPr>
        <w:t>изучение студентами и приобретение знаний о химической природе веществ, входящих в состав живых организмов, их превращениях, связи этих превращений с деятельностью органов и тканей, регуляции метаболических процессов и последствиях их нарушения;</w:t>
      </w:r>
    </w:p>
    <w:p w:rsidR="00E95153" w:rsidRPr="00D7022A" w:rsidRDefault="00E95153" w:rsidP="00E951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22A">
        <w:rPr>
          <w:rFonts w:ascii="Times New Roman" w:hAnsi="Times New Roman"/>
          <w:sz w:val="28"/>
          <w:szCs w:val="28"/>
        </w:rPr>
        <w:t xml:space="preserve">формирование у студентов умений пользоваться лабораторным оборудованием и реактивами с соблюдением правил техники безопасности, анализировать полученные данные результатов биохимических исследований и использовать полученные знания </w:t>
      </w:r>
      <w:r w:rsidRPr="00D7022A">
        <w:rPr>
          <w:rFonts w:ascii="Times New Roman" w:hAnsi="Times New Roman"/>
          <w:sz w:val="28"/>
          <w:szCs w:val="28"/>
        </w:rPr>
        <w:lastRenderedPageBreak/>
        <w:t>для объяснения характера возникающих в организме человека изменений и диагностики заболевания;</w:t>
      </w:r>
    </w:p>
    <w:p w:rsidR="00E95153" w:rsidRPr="00D7022A" w:rsidRDefault="00E95153" w:rsidP="00E951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22A">
        <w:rPr>
          <w:rFonts w:ascii="Times New Roman" w:hAnsi="Times New Roman"/>
          <w:sz w:val="28"/>
          <w:szCs w:val="28"/>
        </w:rPr>
        <w:t>формирование навыков аналитической работы с информацией (учебной, научной, нормативно-справочной литературой и другими источниками), с информационными технологиями, диагностическими методами исследованиями.</w:t>
      </w:r>
    </w:p>
    <w:p w:rsidR="00E95153" w:rsidRPr="0072270F" w:rsidRDefault="00E95153" w:rsidP="00E951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70F">
        <w:rPr>
          <w:rFonts w:ascii="Times New Roman" w:hAnsi="Times New Roman"/>
          <w:sz w:val="28"/>
          <w:szCs w:val="28"/>
        </w:rPr>
        <w:t>Для успешного изучения дисциплины «Биохимия» у обучающихся должны быть сформированы следующие предварительные компетенции:</w:t>
      </w:r>
    </w:p>
    <w:p w:rsidR="00E95153" w:rsidRPr="0072270F" w:rsidRDefault="00E95153" w:rsidP="00E951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70F">
        <w:rPr>
          <w:rFonts w:ascii="Times New Roman" w:hAnsi="Times New Roman"/>
          <w:sz w:val="28"/>
          <w:szCs w:val="28"/>
        </w:rPr>
        <w:t xml:space="preserve">- способность к абстрактному мышлению, анализу, синтезу </w:t>
      </w:r>
      <w:proofErr w:type="gramStart"/>
      <w:r w:rsidRPr="0072270F">
        <w:rPr>
          <w:rFonts w:ascii="Times New Roman" w:hAnsi="Times New Roman"/>
          <w:sz w:val="28"/>
          <w:szCs w:val="28"/>
        </w:rPr>
        <w:t>( ок</w:t>
      </w:r>
      <w:proofErr w:type="gramEnd"/>
      <w:r w:rsidRPr="0072270F">
        <w:rPr>
          <w:rFonts w:ascii="Times New Roman" w:hAnsi="Times New Roman"/>
          <w:sz w:val="28"/>
          <w:szCs w:val="28"/>
        </w:rPr>
        <w:t>-1);</w:t>
      </w:r>
    </w:p>
    <w:p w:rsidR="00E95153" w:rsidRPr="0072270F" w:rsidRDefault="00E95153" w:rsidP="00E9515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70F">
        <w:rPr>
          <w:rFonts w:ascii="Times New Roman" w:hAnsi="Times New Roman"/>
          <w:sz w:val="28"/>
          <w:szCs w:val="28"/>
        </w:rPr>
        <w:t xml:space="preserve">- готовность к саморазвитию, самореализации, самообразованию, использованию творческого потенциала </w:t>
      </w:r>
      <w:proofErr w:type="gramStart"/>
      <w:r w:rsidRPr="0072270F">
        <w:rPr>
          <w:rFonts w:ascii="Times New Roman" w:hAnsi="Times New Roman"/>
          <w:sz w:val="28"/>
          <w:szCs w:val="28"/>
        </w:rPr>
        <w:t>( ОК</w:t>
      </w:r>
      <w:proofErr w:type="gramEnd"/>
      <w:r w:rsidRPr="0072270F">
        <w:rPr>
          <w:rFonts w:ascii="Times New Roman" w:hAnsi="Times New Roman"/>
          <w:sz w:val="28"/>
          <w:szCs w:val="28"/>
        </w:rPr>
        <w:t>-5);</w:t>
      </w:r>
    </w:p>
    <w:p w:rsidR="00E95153" w:rsidRPr="00D718AA" w:rsidRDefault="00E95153" w:rsidP="00E95153">
      <w:pPr>
        <w:jc w:val="both"/>
        <w:rPr>
          <w:rFonts w:ascii="Times New Roman" w:hAnsi="Times New Roman"/>
        </w:rPr>
      </w:pPr>
      <w:r w:rsidRPr="0072270F">
        <w:rPr>
          <w:rFonts w:ascii="Times New Roman" w:hAnsi="Times New Roman"/>
          <w:sz w:val="28"/>
          <w:szCs w:val="28"/>
        </w:rPr>
        <w:t xml:space="preserve">В результате изучения данной дисциплины у студентов формируются следующие общепрофессиональные/ профессиональные компетенции: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81"/>
        <w:gridCol w:w="5050"/>
      </w:tblGrid>
      <w:tr w:rsidR="00E95153" w:rsidRPr="00535ED6" w:rsidTr="00535ED6">
        <w:tc>
          <w:tcPr>
            <w:tcW w:w="3114" w:type="dxa"/>
          </w:tcPr>
          <w:p w:rsidR="00E95153" w:rsidRPr="00535ED6" w:rsidRDefault="00E95153" w:rsidP="00F6793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ED6">
              <w:rPr>
                <w:rFonts w:ascii="Times New Roman" w:hAnsi="Times New Roman"/>
                <w:b/>
                <w:sz w:val="28"/>
                <w:szCs w:val="28"/>
              </w:rPr>
              <w:t>Код и формулировка компетенции</w:t>
            </w:r>
          </w:p>
        </w:tc>
        <w:tc>
          <w:tcPr>
            <w:tcW w:w="6231" w:type="dxa"/>
            <w:gridSpan w:val="2"/>
          </w:tcPr>
          <w:p w:rsidR="00E95153" w:rsidRPr="00535ED6" w:rsidRDefault="00E95153" w:rsidP="00F6793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ED6">
              <w:rPr>
                <w:rFonts w:ascii="Times New Roman" w:hAnsi="Times New Roman"/>
                <w:b/>
                <w:sz w:val="28"/>
                <w:szCs w:val="28"/>
              </w:rPr>
              <w:t>Этапы формирования компетенции</w:t>
            </w:r>
          </w:p>
        </w:tc>
      </w:tr>
      <w:tr w:rsidR="00E95153" w:rsidRPr="00535ED6" w:rsidTr="00535ED6">
        <w:trPr>
          <w:trHeight w:val="97"/>
        </w:trPr>
        <w:tc>
          <w:tcPr>
            <w:tcW w:w="3114" w:type="dxa"/>
            <w:vMerge w:val="restart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ОПК – 5</w:t>
            </w:r>
          </w:p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 xml:space="preserve">готовность к использованию основных физико-химических, математических и </w:t>
            </w:r>
            <w:proofErr w:type="gramStart"/>
            <w:r w:rsidRPr="00535ED6">
              <w:rPr>
                <w:rFonts w:ascii="Times New Roman" w:hAnsi="Times New Roman"/>
                <w:sz w:val="28"/>
                <w:szCs w:val="28"/>
              </w:rPr>
              <w:t>иных естественнонаучных понятий</w:t>
            </w:r>
            <w:proofErr w:type="gramEnd"/>
            <w:r w:rsidRPr="00535ED6">
              <w:rPr>
                <w:rFonts w:ascii="Times New Roman" w:hAnsi="Times New Roman"/>
                <w:sz w:val="28"/>
                <w:szCs w:val="28"/>
              </w:rPr>
              <w:t xml:space="preserve"> и методов при решении профессиональных задач</w:t>
            </w:r>
          </w:p>
        </w:tc>
        <w:tc>
          <w:tcPr>
            <w:tcW w:w="1181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 xml:space="preserve">Знает </w:t>
            </w:r>
          </w:p>
        </w:tc>
        <w:tc>
          <w:tcPr>
            <w:tcW w:w="5050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магистральные пути метаболизма аминокислот, белков, углеводов, липидов, нуклеотидов, нуклеиновых кислот и основные нарушения их метаболизма в организме человека</w:t>
            </w:r>
          </w:p>
        </w:tc>
      </w:tr>
      <w:tr w:rsidR="00E95153" w:rsidRPr="00535ED6" w:rsidTr="00535ED6">
        <w:trPr>
          <w:trHeight w:val="97"/>
        </w:trPr>
        <w:tc>
          <w:tcPr>
            <w:tcW w:w="3114" w:type="dxa"/>
            <w:vMerge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5050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оценивать информативность различных биохимических определений для анализа крови и мочи при некоторых патологических состояниях (сахарный диабет, патология печени, почек, сердца)</w:t>
            </w:r>
          </w:p>
        </w:tc>
      </w:tr>
      <w:tr w:rsidR="00E95153" w:rsidRPr="00535ED6" w:rsidTr="00535ED6">
        <w:trPr>
          <w:trHeight w:val="97"/>
        </w:trPr>
        <w:tc>
          <w:tcPr>
            <w:tcW w:w="3114" w:type="dxa"/>
            <w:vMerge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5050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 xml:space="preserve">навыками для решения биохимических и профессиональных задач. </w:t>
            </w:r>
          </w:p>
        </w:tc>
      </w:tr>
      <w:tr w:rsidR="00E95153" w:rsidRPr="00535ED6" w:rsidTr="00535ED6">
        <w:trPr>
          <w:trHeight w:val="97"/>
        </w:trPr>
        <w:tc>
          <w:tcPr>
            <w:tcW w:w="3114" w:type="dxa"/>
            <w:vMerge w:val="restart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ПК-4</w:t>
            </w:r>
          </w:p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готовность к проведению лабораторных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181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Знает</w:t>
            </w:r>
          </w:p>
        </w:tc>
        <w:tc>
          <w:tcPr>
            <w:tcW w:w="5050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Основы организации и осуществлению прикладных и практических проектов и иных мероприятий по изучению биохимических и физиологических процессов и явлений, происходящих в клетке человека</w:t>
            </w:r>
          </w:p>
        </w:tc>
      </w:tr>
      <w:tr w:rsidR="00E95153" w:rsidRPr="00535ED6" w:rsidTr="00535ED6">
        <w:trPr>
          <w:trHeight w:val="97"/>
        </w:trPr>
        <w:tc>
          <w:tcPr>
            <w:tcW w:w="3114" w:type="dxa"/>
            <w:vMerge/>
          </w:tcPr>
          <w:p w:rsidR="00E95153" w:rsidRPr="00535ED6" w:rsidRDefault="00E95153" w:rsidP="00F6793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Умеет</w:t>
            </w:r>
          </w:p>
        </w:tc>
        <w:tc>
          <w:tcPr>
            <w:tcW w:w="5050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Организовывать проекты и иных мероприятия по изучению биохимических и физиологических процессов и явлений, происходящих в клетке человека прикладных и практических проектов и иных мероприятий по изучению биохимических и физиологических процессов и явлений, происходящих в клетке человека</w:t>
            </w:r>
          </w:p>
        </w:tc>
      </w:tr>
      <w:tr w:rsidR="00E95153" w:rsidRPr="00535ED6" w:rsidTr="00535ED6">
        <w:trPr>
          <w:trHeight w:val="97"/>
        </w:trPr>
        <w:tc>
          <w:tcPr>
            <w:tcW w:w="3114" w:type="dxa"/>
            <w:vMerge/>
          </w:tcPr>
          <w:p w:rsidR="00E95153" w:rsidRPr="00535ED6" w:rsidRDefault="00E95153" w:rsidP="00F6793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Владеет</w:t>
            </w:r>
          </w:p>
        </w:tc>
        <w:tc>
          <w:tcPr>
            <w:tcW w:w="5050" w:type="dxa"/>
          </w:tcPr>
          <w:p w:rsidR="00E95153" w:rsidRPr="00535ED6" w:rsidRDefault="00E95153" w:rsidP="00F679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5ED6">
              <w:rPr>
                <w:rFonts w:ascii="Times New Roman" w:hAnsi="Times New Roman"/>
                <w:sz w:val="28"/>
                <w:szCs w:val="28"/>
              </w:rPr>
              <w:t>Навыками организации прикладных и практических проектов и иных мероприятий по изучению биохимических и физиологических процессов и явлений, происходящих в клетке человека</w:t>
            </w:r>
          </w:p>
        </w:tc>
      </w:tr>
    </w:tbl>
    <w:p w:rsidR="00E95153" w:rsidRDefault="00E95153" w:rsidP="00E95153">
      <w:pPr>
        <w:jc w:val="both"/>
        <w:rPr>
          <w:rFonts w:ascii="Times New Roman" w:hAnsi="Times New Roman"/>
          <w:b/>
          <w:sz w:val="28"/>
          <w:szCs w:val="28"/>
        </w:rPr>
      </w:pPr>
    </w:p>
    <w:p w:rsidR="00B07CA8" w:rsidRDefault="00E95153" w:rsidP="004C4FB9">
      <w:pPr>
        <w:spacing w:after="0" w:line="360" w:lineRule="auto"/>
      </w:pPr>
      <w:r w:rsidRPr="00AC4997">
        <w:rPr>
          <w:rFonts w:ascii="Times New Roman" w:hAnsi="Times New Roman"/>
          <w:sz w:val="28"/>
          <w:szCs w:val="28"/>
        </w:rPr>
        <w:t>Для формирования вышеуказанных компетенц</w:t>
      </w:r>
      <w:r>
        <w:rPr>
          <w:rFonts w:ascii="Times New Roman" w:hAnsi="Times New Roman"/>
          <w:sz w:val="28"/>
          <w:szCs w:val="28"/>
        </w:rPr>
        <w:t>ий в рамках дисциплины «Биохимия</w:t>
      </w:r>
      <w:r w:rsidRPr="00AC4997">
        <w:rPr>
          <w:rFonts w:ascii="Times New Roman" w:hAnsi="Times New Roman"/>
          <w:sz w:val="28"/>
          <w:szCs w:val="28"/>
        </w:rPr>
        <w:t xml:space="preserve">» применяются следующие методы активного: </w:t>
      </w:r>
      <w:r>
        <w:rPr>
          <w:rFonts w:ascii="Times New Roman" w:hAnsi="Times New Roman"/>
          <w:sz w:val="28"/>
          <w:szCs w:val="28"/>
        </w:rPr>
        <w:t>практические занятия в виде «круглый стол», мозговой штурм.</w:t>
      </w:r>
      <w:bookmarkStart w:id="0" w:name="_GoBack"/>
      <w:bookmarkEnd w:id="0"/>
    </w:p>
    <w:sectPr w:rsidR="00B0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1B"/>
    <w:rsid w:val="000F48CD"/>
    <w:rsid w:val="003D651B"/>
    <w:rsid w:val="004C4FB9"/>
    <w:rsid w:val="00535ED6"/>
    <w:rsid w:val="0054796B"/>
    <w:rsid w:val="00B07CA8"/>
    <w:rsid w:val="00E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2BE06-F0A8-4517-9830-EF2FAFC4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9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8A94-B366-4069-A38C-81DFAEE8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</dc:creator>
  <cp:keywords/>
  <dc:description/>
  <cp:lastModifiedBy>HP</cp:lastModifiedBy>
  <cp:revision>6</cp:revision>
  <dcterms:created xsi:type="dcterms:W3CDTF">2019-02-25T05:46:00Z</dcterms:created>
  <dcterms:modified xsi:type="dcterms:W3CDTF">2019-07-04T13:06:00Z</dcterms:modified>
</cp:coreProperties>
</file>